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DE" w:rsidRPr="00350E88" w:rsidRDefault="006A00DE" w:rsidP="006A00DE">
      <w:pPr>
        <w:pStyle w:val="Heading2"/>
        <w:rPr>
          <w:rFonts w:ascii="Helvetica" w:hAnsi="Helvetica" w:cs="Helvetica"/>
          <w:b w:val="0"/>
          <w:lang w:val="en-US"/>
        </w:rPr>
      </w:pPr>
      <w:bookmarkStart w:id="0" w:name="_GoBack"/>
      <w:r w:rsidRPr="00350E88">
        <w:rPr>
          <w:rFonts w:ascii="Helvetica" w:hAnsi="Helvetica" w:cs="Helvetica"/>
          <w:b w:val="0"/>
          <w:lang w:val="en-US"/>
        </w:rPr>
        <w:t xml:space="preserve">Clinical end points and response criteria in mycosis </w:t>
      </w:r>
      <w:proofErr w:type="spellStart"/>
      <w:r w:rsidRPr="00350E88">
        <w:rPr>
          <w:rFonts w:ascii="Helvetica" w:hAnsi="Helvetica" w:cs="Helvetica"/>
          <w:b w:val="0"/>
          <w:lang w:val="en-US"/>
        </w:rPr>
        <w:t>fungoides</w:t>
      </w:r>
      <w:proofErr w:type="spellEnd"/>
      <w:r w:rsidRPr="00350E88">
        <w:rPr>
          <w:rFonts w:ascii="Helvetica" w:hAnsi="Helvetica" w:cs="Helvetica"/>
          <w:b w:val="0"/>
          <w:lang w:val="en-US"/>
        </w:rPr>
        <w:t xml:space="preserve"> </w:t>
      </w:r>
      <w:bookmarkEnd w:id="0"/>
      <w:r w:rsidRPr="00350E88">
        <w:rPr>
          <w:rFonts w:ascii="Helvetica" w:hAnsi="Helvetica" w:cs="Helvetica"/>
          <w:b w:val="0"/>
          <w:lang w:val="en-US"/>
        </w:rPr>
        <w:t xml:space="preserve">and </w:t>
      </w:r>
      <w:proofErr w:type="spellStart"/>
      <w:r w:rsidRPr="00350E88">
        <w:rPr>
          <w:rFonts w:ascii="Helvetica" w:hAnsi="Helvetica" w:cs="Helvetica"/>
          <w:b w:val="0"/>
          <w:lang w:val="en-US"/>
        </w:rPr>
        <w:t>sezary</w:t>
      </w:r>
      <w:proofErr w:type="spellEnd"/>
      <w:r w:rsidRPr="00350E88">
        <w:rPr>
          <w:rFonts w:ascii="Helvetica" w:hAnsi="Helvetica" w:cs="Helvetica"/>
          <w:b w:val="0"/>
          <w:lang w:val="en-US"/>
        </w:rPr>
        <w:t xml:space="preserve"> syndrome: a consensus statement of the international society for cutaneous lymphomas, the United States cutaneous lymphoma consortium, and the cutaneous lymphoma task force of the European </w:t>
      </w:r>
      <w:proofErr w:type="spellStart"/>
      <w:r w:rsidRPr="00350E88">
        <w:rPr>
          <w:rFonts w:ascii="Helvetica" w:hAnsi="Helvetica" w:cs="Helvetica"/>
          <w:b w:val="0"/>
          <w:lang w:val="en-US"/>
        </w:rPr>
        <w:t>organisation</w:t>
      </w:r>
      <w:proofErr w:type="spellEnd"/>
      <w:r w:rsidRPr="00350E88">
        <w:rPr>
          <w:rFonts w:ascii="Helvetica" w:hAnsi="Helvetica" w:cs="Helvetica"/>
          <w:b w:val="0"/>
          <w:lang w:val="en-US"/>
        </w:rPr>
        <w:t xml:space="preserve"> for research and treatment of cancer.</w:t>
      </w:r>
    </w:p>
    <w:p w:rsidR="006A00DE" w:rsidRPr="00A97E2A" w:rsidRDefault="006A00DE" w:rsidP="006A00DE">
      <w:pPr>
        <w:pStyle w:val="smallgray1"/>
        <w:rPr>
          <w:rFonts w:ascii="Helvetica" w:hAnsi="Helvetica" w:cs="Helvetica"/>
          <w:sz w:val="22"/>
          <w:szCs w:val="22"/>
          <w:lang w:val="en-US"/>
        </w:rPr>
      </w:pPr>
      <w:r w:rsidRPr="00A97E2A">
        <w:rPr>
          <w:rFonts w:ascii="Helvetica" w:hAnsi="Helvetica" w:cs="Helvetica"/>
          <w:sz w:val="22"/>
          <w:szCs w:val="22"/>
          <w:lang w:val="en-US"/>
        </w:rPr>
        <w:t xml:space="preserve">Olsen, E.A.; Whittaker, S.; Kim, Y.H.;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Duvic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M.; Prince, H.M.;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Lessin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S.R.; Wood, G.S.;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Willemze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R.;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Demierre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M.F.;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Pimpinelli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N.;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Bernengo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M.G.; Ortiz-Romero, P.L.;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Bagot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M.;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Estrach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T.;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Guitart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J.;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Knobler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R.;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Sanches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J.A.;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Iwatsuki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K.;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Sugaya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M.;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Dummer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R.;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Pittelkow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M.; Hoppe, R.; Parker, S.;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Geskin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L.; Pinter-Brown, L.;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Girardi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M.; Burg, G.;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Ranki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A.; Vermeer, M.;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Horwitz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S.;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Heald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P.; Rosen, S.;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Cerroni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L.;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Dreno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 xml:space="preserve">, B.; </w:t>
      </w:r>
      <w:proofErr w:type="spellStart"/>
      <w:r w:rsidRPr="00A97E2A">
        <w:rPr>
          <w:rFonts w:ascii="Helvetica" w:hAnsi="Helvetica" w:cs="Helvetica"/>
          <w:sz w:val="22"/>
          <w:szCs w:val="22"/>
          <w:lang w:val="en-US"/>
        </w:rPr>
        <w:t>Vonderheid</w:t>
      </w:r>
      <w:proofErr w:type="spellEnd"/>
      <w:r w:rsidRPr="00A97E2A">
        <w:rPr>
          <w:rFonts w:ascii="Helvetica" w:hAnsi="Helvetica" w:cs="Helvetica"/>
          <w:sz w:val="22"/>
          <w:szCs w:val="22"/>
          <w:lang w:val="en-US"/>
        </w:rPr>
        <w:t>, E.C.</w:t>
      </w:r>
    </w:p>
    <w:p w:rsidR="006A00DE" w:rsidRPr="00350E88" w:rsidRDefault="006A00DE" w:rsidP="006A00DE">
      <w:pPr>
        <w:pStyle w:val="NormalWeb"/>
        <w:rPr>
          <w:rFonts w:ascii="Helvetica" w:hAnsi="Helvetica" w:cs="Helvetica"/>
          <w:sz w:val="22"/>
          <w:szCs w:val="22"/>
        </w:rPr>
      </w:pPr>
      <w:r w:rsidRPr="00350E88">
        <w:rPr>
          <w:rFonts w:ascii="Helvetica" w:hAnsi="Helvetica" w:cs="Helvetica"/>
          <w:sz w:val="22"/>
          <w:szCs w:val="22"/>
        </w:rPr>
        <w:t>Vol. 29 Nro. 18 Página: 2598 - 607 Fecha de publicación: 20/06/2011</w:t>
      </w:r>
      <w:r w:rsidRPr="00350E88">
        <w:rPr>
          <w:rFonts w:ascii="Helvetica" w:hAnsi="Helvetica" w:cs="Helvetica"/>
          <w:sz w:val="22"/>
          <w:szCs w:val="22"/>
        </w:rPr>
        <w:br/>
        <w:t>Resumen:</w:t>
      </w:r>
    </w:p>
    <w:p w:rsidR="006A00DE" w:rsidRPr="00350E88" w:rsidRDefault="006A00DE" w:rsidP="006A00DE">
      <w:pPr>
        <w:rPr>
          <w:rFonts w:ascii="Arial" w:hAnsi="Arial" w:cs="Arial"/>
          <w:color w:val="333333"/>
          <w:sz w:val="19"/>
          <w:szCs w:val="19"/>
        </w:rPr>
      </w:pPr>
      <w:r w:rsidRPr="00350E88">
        <w:rPr>
          <w:rStyle w:val="hps"/>
          <w:rFonts w:ascii="Arial" w:hAnsi="Arial" w:cs="Arial"/>
          <w:color w:val="333333"/>
          <w:sz w:val="19"/>
          <w:szCs w:val="19"/>
        </w:rPr>
        <w:t>La  micosis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Pr="00350E88">
        <w:rPr>
          <w:rStyle w:val="hps"/>
          <w:rFonts w:ascii="Arial" w:hAnsi="Arial" w:cs="Arial"/>
          <w:color w:val="333333"/>
          <w:sz w:val="19"/>
          <w:szCs w:val="19"/>
        </w:rPr>
        <w:t>fungoide</w:t>
      </w:r>
      <w:proofErr w:type="spellEnd"/>
      <w:r w:rsidRPr="00350E88">
        <w:rPr>
          <w:rStyle w:val="hps"/>
          <w:rFonts w:ascii="Arial" w:hAnsi="Arial" w:cs="Arial"/>
          <w:color w:val="333333"/>
          <w:sz w:val="19"/>
          <w:szCs w:val="19"/>
        </w:rPr>
        <w:t xml:space="preserve"> (MF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) y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 xml:space="preserve">de </w:t>
      </w:r>
      <w:proofErr w:type="spellStart"/>
      <w:r w:rsidRPr="00350E88">
        <w:rPr>
          <w:rStyle w:val="hps"/>
          <w:rFonts w:ascii="Arial" w:hAnsi="Arial" w:cs="Arial"/>
          <w:color w:val="333333"/>
          <w:sz w:val="19"/>
          <w:szCs w:val="19"/>
        </w:rPr>
        <w:t>Sézary</w:t>
      </w:r>
      <w:proofErr w:type="spellEnd"/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(SS)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, las principales formas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de linfoma cutáneo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de células T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,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tienen características únicas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que los distinguen de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otros tipos de linfoma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no-</w:t>
      </w:r>
      <w:proofErr w:type="spellStart"/>
      <w:r w:rsidRPr="00350E88">
        <w:rPr>
          <w:rStyle w:val="hps"/>
          <w:rFonts w:ascii="Arial" w:hAnsi="Arial" w:cs="Arial"/>
          <w:color w:val="333333"/>
          <w:sz w:val="19"/>
          <w:szCs w:val="19"/>
        </w:rPr>
        <w:t>Hodgkin</w:t>
      </w:r>
      <w:proofErr w:type="spellEnd"/>
      <w:r w:rsidRPr="00350E88">
        <w:rPr>
          <w:rFonts w:ascii="Arial" w:hAnsi="Arial" w:cs="Arial"/>
          <w:color w:val="333333"/>
          <w:sz w:val="19"/>
          <w:szCs w:val="19"/>
        </w:rPr>
        <w:t xml:space="preserve">.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Los ensayos clínicos en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MF / SS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han sufrido de una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falta de estandarización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en la evaluación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,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clasificación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,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evaluación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,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criterios de valoración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y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los criterios de respuesta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. </w:t>
      </w:r>
    </w:p>
    <w:p w:rsidR="006A00DE" w:rsidRPr="00350E88" w:rsidRDefault="006A00DE" w:rsidP="006A00DE">
      <w:pPr>
        <w:rPr>
          <w:rFonts w:ascii="Arial" w:hAnsi="Arial" w:cs="Arial"/>
          <w:color w:val="333333"/>
          <w:sz w:val="19"/>
          <w:szCs w:val="19"/>
        </w:rPr>
      </w:pPr>
      <w:r w:rsidRPr="00350E88">
        <w:rPr>
          <w:rFonts w:ascii="Arial" w:hAnsi="Arial" w:cs="Arial"/>
          <w:color w:val="333333"/>
          <w:sz w:val="19"/>
          <w:szCs w:val="19"/>
        </w:rPr>
        <w:t>Actualmente hay c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riterios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definidos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para el diagnóstico de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 xml:space="preserve">MF, 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directrices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para la evaluación inicial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,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y puesta en escena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revisada y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criterios de clasificación de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MF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y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SS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ofrecen ahora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la posibilidad de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 xml:space="preserve">uniforme de </w:t>
      </w:r>
      <w:proofErr w:type="spellStart"/>
      <w:r w:rsidRPr="00350E88">
        <w:rPr>
          <w:rStyle w:val="hps"/>
          <w:rFonts w:ascii="Arial" w:hAnsi="Arial" w:cs="Arial"/>
          <w:color w:val="333333"/>
          <w:sz w:val="19"/>
          <w:szCs w:val="19"/>
        </w:rPr>
        <w:t>estadificación</w:t>
      </w:r>
      <w:proofErr w:type="spellEnd"/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de los pacientes incluidos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en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ensayos clínicos de MF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/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SS</w:t>
      </w:r>
      <w:r w:rsidRPr="00350E88">
        <w:rPr>
          <w:rFonts w:ascii="Arial" w:hAnsi="Arial" w:cs="Arial"/>
          <w:color w:val="333333"/>
          <w:sz w:val="19"/>
          <w:szCs w:val="19"/>
        </w:rPr>
        <w:t>.</w:t>
      </w:r>
    </w:p>
    <w:p w:rsidR="006A00DE" w:rsidRPr="00350E88" w:rsidRDefault="006A00DE" w:rsidP="006A00DE"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Este artículo presenta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las recomendaciones de consenso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para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seguir los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 xml:space="preserve"> métodos de evaluación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estandarizada de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manifestaciones de la enfermedad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potencial en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la piel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, los ganglios linfáticos, la sangre y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las vísceras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,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y la definición de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criterios de valoración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y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los criterios de respuesta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.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Estas directrices deberán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facilitar la colaboración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entre los investigadores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y el cotejo de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los datos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del patrocinador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o generados por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investigaciones iniciadas por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los ensayos clínicos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realizados en pacientes con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MF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o</w:t>
      </w:r>
      <w:r w:rsidRPr="00350E88">
        <w:rPr>
          <w:rFonts w:ascii="Arial" w:hAnsi="Arial" w:cs="Arial"/>
          <w:color w:val="333333"/>
          <w:sz w:val="19"/>
          <w:szCs w:val="19"/>
        </w:rPr>
        <w:t xml:space="preserve"> </w:t>
      </w:r>
      <w:r w:rsidRPr="00350E88">
        <w:rPr>
          <w:rStyle w:val="hps"/>
          <w:rFonts w:ascii="Arial" w:hAnsi="Arial" w:cs="Arial"/>
          <w:color w:val="333333"/>
          <w:sz w:val="19"/>
          <w:szCs w:val="19"/>
        </w:rPr>
        <w:t>SS</w:t>
      </w:r>
      <w:r w:rsidRPr="00350E88">
        <w:rPr>
          <w:rFonts w:ascii="Arial" w:hAnsi="Arial" w:cs="Arial"/>
          <w:color w:val="333333"/>
          <w:sz w:val="19"/>
          <w:szCs w:val="19"/>
        </w:rPr>
        <w:t>.</w:t>
      </w:r>
    </w:p>
    <w:p w:rsidR="00ED3536" w:rsidRDefault="00ED3536"/>
    <w:sectPr w:rsidR="00ED3536" w:rsidSect="009211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E"/>
    <w:rsid w:val="006A00DE"/>
    <w:rsid w:val="009211A1"/>
    <w:rsid w:val="00E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D0F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DE"/>
    <w:rPr>
      <w:rFonts w:ascii="Times New Roman" w:eastAsia="Times New Roman" w:hAnsi="Times New Roman" w:cs="Times New Roman"/>
      <w:lang w:val="es-ES"/>
    </w:rPr>
  </w:style>
  <w:style w:type="paragraph" w:styleId="Heading2">
    <w:name w:val="heading 2"/>
    <w:basedOn w:val="Normal"/>
    <w:link w:val="Heading2Char"/>
    <w:qFormat/>
    <w:rsid w:val="006A00DE"/>
    <w:pPr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0D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smallgray1">
    <w:name w:val="small gray_1"/>
    <w:basedOn w:val="Normal"/>
    <w:rsid w:val="006A00DE"/>
    <w:pPr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rsid w:val="006A00DE"/>
    <w:pPr>
      <w:spacing w:before="100" w:beforeAutospacing="1" w:after="100" w:afterAutospacing="1"/>
    </w:pPr>
    <w:rPr>
      <w:lang w:eastAsia="es-ES"/>
    </w:rPr>
  </w:style>
  <w:style w:type="character" w:customStyle="1" w:styleId="hps">
    <w:name w:val="hps"/>
    <w:basedOn w:val="DefaultParagraphFont"/>
    <w:rsid w:val="006A00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DE"/>
    <w:rPr>
      <w:rFonts w:ascii="Times New Roman" w:eastAsia="Times New Roman" w:hAnsi="Times New Roman" w:cs="Times New Roman"/>
      <w:lang w:val="es-ES"/>
    </w:rPr>
  </w:style>
  <w:style w:type="paragraph" w:styleId="Heading2">
    <w:name w:val="heading 2"/>
    <w:basedOn w:val="Normal"/>
    <w:link w:val="Heading2Char"/>
    <w:qFormat/>
    <w:rsid w:val="006A00DE"/>
    <w:pPr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0D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smallgray1">
    <w:name w:val="small gray_1"/>
    <w:basedOn w:val="Normal"/>
    <w:rsid w:val="006A00DE"/>
    <w:pPr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rsid w:val="006A00DE"/>
    <w:pPr>
      <w:spacing w:before="100" w:beforeAutospacing="1" w:after="100" w:afterAutospacing="1"/>
    </w:pPr>
    <w:rPr>
      <w:lang w:eastAsia="es-ES"/>
    </w:rPr>
  </w:style>
  <w:style w:type="character" w:customStyle="1" w:styleId="hps">
    <w:name w:val="hps"/>
    <w:basedOn w:val="DefaultParagraphFont"/>
    <w:rsid w:val="006A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Macintosh Word</Application>
  <DocSecurity>0</DocSecurity>
  <Lines>14</Lines>
  <Paragraphs>4</Paragraphs>
  <ScaleCrop>false</ScaleCrop>
  <Company>Techcom (Vcard)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2011-11-27T02:05:00Z</dcterms:created>
  <dcterms:modified xsi:type="dcterms:W3CDTF">2011-11-27T02:06:00Z</dcterms:modified>
</cp:coreProperties>
</file>