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28">
        <w:rPr>
          <w:rFonts w:ascii="Times New Roman" w:eastAsia="Times New Roman" w:hAnsi="Times New Roman" w:cs="Times New Roman"/>
          <w:b/>
          <w:sz w:val="36"/>
        </w:rPr>
        <w:t>PATOLOGÍA DEL DEDO GORDO (HALUX</w:t>
      </w:r>
      <w:r w:rsidRPr="005E2D28">
        <w:rPr>
          <w:rFonts w:ascii="Times New Roman" w:eastAsia="Times New Roman" w:hAnsi="Times New Roman" w:cs="Times New Roman"/>
          <w:b/>
          <w:sz w:val="44"/>
          <w:szCs w:val="32"/>
        </w:rPr>
        <w:t>)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Genéticas Ejemplos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" w:hAnsi="Times" w:cs="Times New Roman"/>
          <w:i/>
          <w:color w:val="FF0000"/>
          <w:sz w:val="18"/>
          <w:szCs w:val="20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Anoniquia</w:t>
      </w:r>
      <w:proofErr w:type="spellEnd"/>
      <w:r w:rsidRPr="005E2D28">
        <w:rPr>
          <w:rFonts w:ascii="Times New Roman" w:hAnsi="Times New Roman" w:cs="Times New Roman"/>
          <w:i/>
          <w:color w:val="FF0000"/>
          <w:szCs w:val="28"/>
        </w:rPr>
        <w:t xml:space="preserve"> congénita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" w:hAnsi="Times" w:cs="Times New Roman"/>
          <w:i/>
          <w:color w:val="FF0000"/>
          <w:sz w:val="18"/>
          <w:szCs w:val="20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Esclerosis tuberosa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Infecciosas Bacterianas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Verruga peruana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Virales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Verrugas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E2D28">
        <w:rPr>
          <w:rFonts w:ascii="Times New Roman" w:hAnsi="Times New Roman" w:cs="Times New Roman"/>
          <w:b/>
          <w:bCs/>
          <w:sz w:val="28"/>
          <w:szCs w:val="28"/>
        </w:rPr>
        <w:t>Micóticas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Onicomicosis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Parasitarias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Tungiasis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Inducidas Ejemplo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 xml:space="preserve">por </w:t>
      </w:r>
      <w:r w:rsidRPr="005E2D28">
        <w:rPr>
          <w:rFonts w:ascii="Times New Roman" w:hAnsi="Times New Roman" w:cs="Times New Roman"/>
          <w:sz w:val="28"/>
          <w:szCs w:val="28"/>
        </w:rPr>
        <w:t>Granuloma piógeno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 xml:space="preserve">fármacos </w:t>
      </w:r>
      <w:r w:rsidRPr="005E2D28">
        <w:rPr>
          <w:rFonts w:ascii="Times New Roman" w:hAnsi="Times New Roman" w:cs="Times New Roman"/>
          <w:sz w:val="28"/>
          <w:szCs w:val="28"/>
        </w:rPr>
        <w:t xml:space="preserve">por </w:t>
      </w:r>
      <w:proofErr w:type="spellStart"/>
      <w:r w:rsidRPr="005E2D28">
        <w:rPr>
          <w:rFonts w:ascii="Times New Roman" w:hAnsi="Times New Roman" w:cs="Times New Roman"/>
          <w:sz w:val="28"/>
          <w:szCs w:val="28"/>
        </w:rPr>
        <w:t>isotretinoína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Metabólicos Ejemplos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Gota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Diabetes Mellitus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Tumorales Vasculares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Granuloma piógeno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Proliferación fibrosa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Tumor de la vaina tendinosa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Fibroqueratoma</w:t>
      </w:r>
      <w:proofErr w:type="spellEnd"/>
      <w:r w:rsidRPr="005E2D28">
        <w:rPr>
          <w:rFonts w:ascii="Times New Roman" w:hAnsi="Times New Roman" w:cs="Times New Roman"/>
          <w:i/>
          <w:color w:val="FF0000"/>
          <w:szCs w:val="28"/>
        </w:rPr>
        <w:t xml:space="preserve"> </w:t>
      </w: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periungueal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E2D28">
        <w:rPr>
          <w:rFonts w:ascii="Times New Roman" w:hAnsi="Times New Roman" w:cs="Times New Roman"/>
          <w:b/>
          <w:bCs/>
          <w:sz w:val="28"/>
          <w:szCs w:val="28"/>
        </w:rPr>
        <w:t>Melanocíticas</w:t>
      </w:r>
      <w:proofErr w:type="spellEnd"/>
      <w:r w:rsidRPr="005E2D28">
        <w:rPr>
          <w:rFonts w:ascii="Times New Roman" w:hAnsi="Times New Roman" w:cs="Times New Roman"/>
          <w:b/>
          <w:bCs/>
          <w:sz w:val="28"/>
          <w:szCs w:val="28"/>
        </w:rPr>
        <w:t xml:space="preserve"> Benignas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lastRenderedPageBreak/>
        <w:t>Nevo</w:t>
      </w:r>
      <w:proofErr w:type="spellEnd"/>
      <w:r w:rsidRPr="005E2D28">
        <w:rPr>
          <w:rFonts w:ascii="Times New Roman" w:hAnsi="Times New Roman" w:cs="Times New Roman"/>
          <w:i/>
          <w:color w:val="FF0000"/>
          <w:szCs w:val="28"/>
        </w:rPr>
        <w:t xml:space="preserve"> </w:t>
      </w: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melanocítico</w:t>
      </w:r>
      <w:proofErr w:type="spellEnd"/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Malignas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Melanoma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E2D28">
        <w:rPr>
          <w:rFonts w:ascii="Times New Roman" w:hAnsi="Times New Roman" w:cs="Times New Roman"/>
          <w:b/>
          <w:bCs/>
          <w:sz w:val="28"/>
          <w:szCs w:val="28"/>
        </w:rPr>
        <w:t>Cartílago y hueso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Tumor de células gigantes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proofErr w:type="spellStart"/>
      <w:r w:rsidRPr="005E2D28">
        <w:rPr>
          <w:rFonts w:ascii="Times New Roman" w:hAnsi="Times New Roman" w:cs="Times New Roman"/>
          <w:i/>
          <w:color w:val="FF0000"/>
          <w:szCs w:val="28"/>
        </w:rPr>
        <w:t>Encondroma</w:t>
      </w:r>
      <w:proofErr w:type="spellEnd"/>
      <w:r w:rsidRPr="005E2D28">
        <w:rPr>
          <w:rFonts w:ascii="Times New Roman" w:hAnsi="Times New Roman" w:cs="Times New Roman"/>
          <w:i/>
          <w:color w:val="FF0000"/>
          <w:szCs w:val="28"/>
        </w:rPr>
        <w:t xml:space="preserve"> solitario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Exostosis subungueal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Crecimiento del dedo</w:t>
      </w:r>
    </w:p>
    <w:p w:rsidR="005E2D28" w:rsidRPr="005E2D28" w:rsidRDefault="005E2D28" w:rsidP="005E2D28">
      <w:pPr>
        <w:autoSpaceDE w:val="0"/>
        <w:autoSpaceDN w:val="0"/>
        <w:spacing w:before="100" w:beforeAutospacing="1" w:after="100" w:afterAutospacing="1"/>
        <w:ind w:left="720"/>
        <w:rPr>
          <w:rFonts w:ascii="Times New Roman" w:hAnsi="Times New Roman" w:cs="Times New Roman"/>
          <w:i/>
          <w:color w:val="FF0000"/>
          <w:szCs w:val="28"/>
        </w:rPr>
      </w:pPr>
      <w:r w:rsidRPr="005E2D28">
        <w:rPr>
          <w:rFonts w:ascii="Times New Roman" w:hAnsi="Times New Roman" w:cs="Times New Roman"/>
          <w:i/>
          <w:color w:val="FF0000"/>
          <w:szCs w:val="28"/>
        </w:rPr>
        <w:t>secundario a lesión ósea</w:t>
      </w:r>
    </w:p>
    <w:p w:rsidR="00D9293E" w:rsidRDefault="005E2D28" w:rsidP="005E2D28">
      <w:r w:rsidRPr="005E2D28">
        <w:rPr>
          <w:b/>
        </w:rPr>
        <w:t>Fuente</w:t>
      </w:r>
      <w:r>
        <w:t>: Patología del Dedo Gordo; Annette Morá</w:t>
      </w:r>
      <w:bookmarkStart w:id="0" w:name="_GoBack"/>
      <w:bookmarkEnd w:id="0"/>
      <w:r>
        <w:t>n1, María Verónica Uraga2, Enrique Loayza3, María</w:t>
      </w:r>
      <w:r>
        <w:t xml:space="preserve"> </w:t>
      </w:r>
      <w:r>
        <w:t xml:space="preserve">Cecilia Briones4 , Manuel Loayza5 , Enrique Uraga6. DERMATOLOGÍA PERUANA/ </w:t>
      </w:r>
      <w:proofErr w:type="spellStart"/>
      <w:r>
        <w:t>Dermatol</w:t>
      </w:r>
      <w:proofErr w:type="spellEnd"/>
      <w:r>
        <w:t xml:space="preserve"> Perú 2010; 20(1) 132-140</w:t>
      </w:r>
    </w:p>
    <w:sectPr w:rsidR="00D9293E" w:rsidSect="001D09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8"/>
    <w:rsid w:val="001D09B7"/>
    <w:rsid w:val="005E2D28"/>
    <w:rsid w:val="00D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E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2012-10-06T18:31:00Z</dcterms:created>
  <dcterms:modified xsi:type="dcterms:W3CDTF">2012-10-06T18:36:00Z</dcterms:modified>
</cp:coreProperties>
</file>