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C0" w:firstRow="0" w:lastRow="1" w:firstColumn="1" w:lastColumn="0" w:noHBand="0" w:noVBand="1"/>
      </w:tblPr>
      <w:tblGrid>
        <w:gridCol w:w="2992"/>
        <w:gridCol w:w="2993"/>
        <w:gridCol w:w="2993"/>
      </w:tblGrid>
      <w:tr w:rsidR="00DD0FCF" w14:paraId="5AFC1F75" w14:textId="77777777" w:rsidTr="004B0C76">
        <w:tc>
          <w:tcPr>
            <w:tcW w:w="8978" w:type="dxa"/>
            <w:gridSpan w:val="3"/>
          </w:tcPr>
          <w:p w14:paraId="042A0485" w14:textId="3D3F9D29" w:rsidR="00DD0FCF" w:rsidRPr="00DD0FCF" w:rsidRDefault="00DD0FCF" w:rsidP="00DD0FCF">
            <w:pPr>
              <w:jc w:val="center"/>
              <w:rPr>
                <w:sz w:val="24"/>
              </w:rPr>
            </w:pPr>
            <w:r w:rsidRPr="00DD0FCF">
              <w:rPr>
                <w:b/>
                <w:color w:val="FF0000"/>
                <w:sz w:val="24"/>
              </w:rPr>
              <w:t>DROGAS O QU</w:t>
            </w:r>
            <w:r w:rsidR="008D1732">
              <w:rPr>
                <w:b/>
                <w:color w:val="FF0000"/>
                <w:sz w:val="24"/>
              </w:rPr>
              <w:t>I</w:t>
            </w:r>
            <w:bookmarkStart w:id="0" w:name="_GoBack"/>
            <w:bookmarkEnd w:id="0"/>
            <w:r w:rsidRPr="00DD0FCF">
              <w:rPr>
                <w:b/>
                <w:color w:val="FF0000"/>
                <w:sz w:val="24"/>
              </w:rPr>
              <w:t>MICOS ASOCIADO CON HIPERPIGMENTACIÓN O DISCOLORACIÓN (TRASTORNO DE LA COLORACIÓN)</w:t>
            </w:r>
          </w:p>
        </w:tc>
      </w:tr>
      <w:tr w:rsidR="006D7D9F" w14:paraId="52D34D07" w14:textId="77777777" w:rsidTr="00D91592">
        <w:tc>
          <w:tcPr>
            <w:tcW w:w="2992" w:type="dxa"/>
          </w:tcPr>
          <w:p w14:paraId="154FADBD" w14:textId="77777777" w:rsidR="006D7D9F" w:rsidRPr="00C93B1D" w:rsidRDefault="006D7D9F">
            <w:pPr>
              <w:rPr>
                <w:b/>
              </w:rPr>
            </w:pPr>
            <w:r w:rsidRPr="00C93B1D">
              <w:rPr>
                <w:b/>
              </w:rPr>
              <w:t>DROGA O QUÍMICO</w:t>
            </w:r>
          </w:p>
        </w:tc>
        <w:tc>
          <w:tcPr>
            <w:tcW w:w="2993" w:type="dxa"/>
          </w:tcPr>
          <w:p w14:paraId="2CC8E428" w14:textId="77777777" w:rsidR="006D7D9F" w:rsidRPr="00C93B1D" w:rsidRDefault="006D7D9F">
            <w:pPr>
              <w:rPr>
                <w:b/>
              </w:rPr>
            </w:pPr>
            <w:r w:rsidRPr="00C93B1D">
              <w:rPr>
                <w:b/>
              </w:rPr>
              <w:t>CUADRO CLÍNICO</w:t>
            </w:r>
          </w:p>
        </w:tc>
        <w:tc>
          <w:tcPr>
            <w:tcW w:w="2993" w:type="dxa"/>
          </w:tcPr>
          <w:p w14:paraId="31E5AAB9" w14:textId="77777777" w:rsidR="006D7D9F" w:rsidRPr="00C93B1D" w:rsidRDefault="006D7D9F">
            <w:pPr>
              <w:rPr>
                <w:b/>
              </w:rPr>
            </w:pPr>
            <w:r w:rsidRPr="00C93B1D">
              <w:rPr>
                <w:b/>
              </w:rPr>
              <w:t>HISTOPATOLOGÍA</w:t>
            </w:r>
          </w:p>
        </w:tc>
      </w:tr>
      <w:tr w:rsidR="006D7D9F" w14:paraId="485A8D16" w14:textId="77777777" w:rsidTr="00D91592">
        <w:tc>
          <w:tcPr>
            <w:tcW w:w="2992" w:type="dxa"/>
          </w:tcPr>
          <w:p w14:paraId="0F3EECDF" w14:textId="77777777" w:rsidR="006D7D9F" w:rsidRDefault="006D7D9F">
            <w:r>
              <w:t>BCNU (Carmustine)</w:t>
            </w:r>
          </w:p>
        </w:tc>
        <w:tc>
          <w:tcPr>
            <w:tcW w:w="2993" w:type="dxa"/>
          </w:tcPr>
          <w:p w14:paraId="7C11ECFE" w14:textId="77777777" w:rsidR="006D7D9F" w:rsidRDefault="006D7D9F" w:rsidP="006D7D9F">
            <w:r>
              <w:t>Hiperpigmentación en los sitios de aplicación tópica. No con administración parenteral)</w:t>
            </w:r>
          </w:p>
        </w:tc>
        <w:tc>
          <w:tcPr>
            <w:tcW w:w="2993" w:type="dxa"/>
          </w:tcPr>
          <w:p w14:paraId="56BDBF23" w14:textId="77777777" w:rsidR="006D7D9F" w:rsidRDefault="006D7D9F">
            <w:r>
              <w:t xml:space="preserve">Hiperplasia melanocitos </w:t>
            </w:r>
            <w:r w:rsidR="00AA0B37">
              <w:t>basales. Incremento</w:t>
            </w:r>
            <w:r>
              <w:t xml:space="preserve"> melanina epidérmica.</w:t>
            </w:r>
          </w:p>
        </w:tc>
      </w:tr>
      <w:tr w:rsidR="006D7D9F" w14:paraId="01D9C7A7" w14:textId="77777777" w:rsidTr="00D91592">
        <w:tc>
          <w:tcPr>
            <w:tcW w:w="2992" w:type="dxa"/>
          </w:tcPr>
          <w:p w14:paraId="54E369FF" w14:textId="77777777" w:rsidR="006D7D9F" w:rsidRDefault="006D7D9F">
            <w:r>
              <w:t>BLEOMICINA (IV o IL)</w:t>
            </w:r>
          </w:p>
        </w:tc>
        <w:tc>
          <w:tcPr>
            <w:tcW w:w="2993" w:type="dxa"/>
          </w:tcPr>
          <w:p w14:paraId="33662FC8" w14:textId="77777777" w:rsidR="006D7D9F" w:rsidRDefault="006D7D9F">
            <w:r>
              <w:t>Bandas lineales, flagelares, troco, asociadas a traumas menores. Melanoniquia transversa. Hiperpigmentación sobre las articulaciones/puntos presión</w:t>
            </w:r>
            <w:r w:rsidR="009970A3">
              <w:t xml:space="preserve"> o sobre las estrías y pliegues palmares.</w:t>
            </w:r>
          </w:p>
          <w:p w14:paraId="7243E4D1" w14:textId="77777777" w:rsidR="009970A3" w:rsidRDefault="009970A3" w:rsidP="009970A3">
            <w:r>
              <w:t>Cambios esclerodermoides.</w:t>
            </w:r>
          </w:p>
        </w:tc>
        <w:tc>
          <w:tcPr>
            <w:tcW w:w="2993" w:type="dxa"/>
          </w:tcPr>
          <w:p w14:paraId="31AE2BF9" w14:textId="77777777" w:rsidR="006D7D9F" w:rsidRDefault="009970A3">
            <w:r>
              <w:t>Incremento de la melanina epidérmica sin aumento de los melanocitos. Pocos Melanófagos dérmicos.</w:t>
            </w:r>
          </w:p>
        </w:tc>
      </w:tr>
      <w:tr w:rsidR="006D7D9F" w14:paraId="243F2FED" w14:textId="77777777" w:rsidTr="00D91592">
        <w:tc>
          <w:tcPr>
            <w:tcW w:w="2992" w:type="dxa"/>
          </w:tcPr>
          <w:p w14:paraId="1ACCFD21" w14:textId="77777777" w:rsidR="006D7D9F" w:rsidRDefault="009970A3">
            <w:r>
              <w:t>BUSULFAN</w:t>
            </w:r>
          </w:p>
        </w:tc>
        <w:tc>
          <w:tcPr>
            <w:tcW w:w="2993" w:type="dxa"/>
          </w:tcPr>
          <w:p w14:paraId="45179BF4" w14:textId="77777777" w:rsidR="006D7D9F" w:rsidRDefault="009970A3" w:rsidP="009970A3">
            <w:r>
              <w:t>Hiperpigmentación generalizada, recuerda enfermedad de Addison; a veces asociado con fibrosis pulmonar inducido por drogas.</w:t>
            </w:r>
          </w:p>
        </w:tc>
        <w:tc>
          <w:tcPr>
            <w:tcW w:w="2993" w:type="dxa"/>
          </w:tcPr>
          <w:p w14:paraId="35C6BCA1" w14:textId="77777777" w:rsidR="006D7D9F" w:rsidRDefault="009970A3">
            <w:r>
              <w:t>Incremento melanina de los queratinocitos basales y macrófagos dérmicos.</w:t>
            </w:r>
          </w:p>
        </w:tc>
      </w:tr>
      <w:tr w:rsidR="006D7D9F" w14:paraId="43ECF9F2" w14:textId="77777777" w:rsidTr="00D91592">
        <w:tc>
          <w:tcPr>
            <w:tcW w:w="2992" w:type="dxa"/>
          </w:tcPr>
          <w:p w14:paraId="271E5CDC" w14:textId="77777777" w:rsidR="006D7D9F" w:rsidRDefault="009970A3">
            <w:r>
              <w:t>CICLOFOSFAMIDA</w:t>
            </w:r>
          </w:p>
        </w:tc>
        <w:tc>
          <w:tcPr>
            <w:tcW w:w="2993" w:type="dxa"/>
          </w:tcPr>
          <w:p w14:paraId="52DD1B85" w14:textId="77777777" w:rsidR="006D7D9F" w:rsidRDefault="00AA0B37">
            <w:r>
              <w:t>Hiperpigmentación difusa de la piel y membranas mucosas. Pigmentación localizada de las uñas (melanoniquia transversa, longitudinal, difusa) palma, planta o dientes.</w:t>
            </w:r>
          </w:p>
        </w:tc>
        <w:tc>
          <w:tcPr>
            <w:tcW w:w="2993" w:type="dxa"/>
          </w:tcPr>
          <w:p w14:paraId="07758E9E" w14:textId="77777777" w:rsidR="006D7D9F" w:rsidRDefault="00AA0B37">
            <w:r>
              <w:t>Hiperpigmentación cutánea; usualmente regresa dentro de 6-12 meses después de suspender el tratamiento.</w:t>
            </w:r>
          </w:p>
        </w:tc>
      </w:tr>
      <w:tr w:rsidR="006D7D9F" w14:paraId="47E63971" w14:textId="77777777" w:rsidTr="00D91592">
        <w:tc>
          <w:tcPr>
            <w:tcW w:w="2992" w:type="dxa"/>
          </w:tcPr>
          <w:p w14:paraId="753D9BBE" w14:textId="77777777" w:rsidR="006D7D9F" w:rsidRDefault="00FF4DCF">
            <w:r>
              <w:t>DACTINOMICINA</w:t>
            </w:r>
          </w:p>
        </w:tc>
        <w:tc>
          <w:tcPr>
            <w:tcW w:w="2993" w:type="dxa"/>
          </w:tcPr>
          <w:p w14:paraId="578CB844" w14:textId="77777777" w:rsidR="006D7D9F" w:rsidRDefault="00E4668E">
            <w:r>
              <w:t>Hiperpigmentación generalizada, más prominente en cara.</w:t>
            </w:r>
          </w:p>
        </w:tc>
        <w:tc>
          <w:tcPr>
            <w:tcW w:w="2993" w:type="dxa"/>
          </w:tcPr>
          <w:p w14:paraId="4C85E670" w14:textId="77777777" w:rsidR="006D7D9F" w:rsidRDefault="00E4668E">
            <w:r>
              <w:t>Pigmentación que desvanece al descontinuarlo.</w:t>
            </w:r>
          </w:p>
        </w:tc>
      </w:tr>
      <w:tr w:rsidR="006D7D9F" w14:paraId="01EC5AD4" w14:textId="77777777" w:rsidTr="00D91592">
        <w:tc>
          <w:tcPr>
            <w:tcW w:w="2992" w:type="dxa"/>
          </w:tcPr>
          <w:p w14:paraId="66368D53" w14:textId="77777777" w:rsidR="006D7D9F" w:rsidRDefault="00E4668E" w:rsidP="00E4668E">
            <w:r>
              <w:t>DAUNORUBICIN</w:t>
            </w:r>
          </w:p>
        </w:tc>
        <w:tc>
          <w:tcPr>
            <w:tcW w:w="2993" w:type="dxa"/>
          </w:tcPr>
          <w:p w14:paraId="55D88ADC" w14:textId="77777777" w:rsidR="006D7D9F" w:rsidRDefault="00E4668E" w:rsidP="00BF4FE0">
            <w:r>
              <w:t xml:space="preserve">Hiperpigmentación áreas foto-expuestas. Melanononiquia transversa marrón oscuro </w:t>
            </w:r>
            <w:r w:rsidR="00BF4FE0">
              <w:t>(negruzca)</w:t>
            </w:r>
          </w:p>
        </w:tc>
        <w:tc>
          <w:tcPr>
            <w:tcW w:w="2993" w:type="dxa"/>
          </w:tcPr>
          <w:p w14:paraId="6F53EE5D" w14:textId="77777777" w:rsidR="006D7D9F" w:rsidRDefault="006D7D9F"/>
        </w:tc>
      </w:tr>
      <w:tr w:rsidR="006D7D9F" w14:paraId="69774AF2" w14:textId="77777777" w:rsidTr="00D91592">
        <w:tc>
          <w:tcPr>
            <w:tcW w:w="2992" w:type="dxa"/>
          </w:tcPr>
          <w:p w14:paraId="63652000" w14:textId="77777777" w:rsidR="006D7D9F" w:rsidRDefault="00BF4FE0">
            <w:r>
              <w:t>DOXORUBICIN</w:t>
            </w:r>
          </w:p>
        </w:tc>
        <w:tc>
          <w:tcPr>
            <w:tcW w:w="2993" w:type="dxa"/>
          </w:tcPr>
          <w:p w14:paraId="3989878E" w14:textId="77777777" w:rsidR="006D7D9F" w:rsidRDefault="00BF4FE0">
            <w:r>
              <w:t>Hiperpigmentación sobre las pequeñas articulaciones de las manos</w:t>
            </w:r>
            <w:r w:rsidR="00C93B1D">
              <w:t xml:space="preserve"> </w:t>
            </w:r>
            <w:r>
              <w:t>y envuelve las palmas (pliegues), planta y mucosa bucal (boca y lengua)</w:t>
            </w:r>
          </w:p>
          <w:p w14:paraId="6C221E1C" w14:textId="77777777" w:rsidR="00BF4FE0" w:rsidRDefault="00BF4FE0">
            <w:r>
              <w:t>Melanoníquia transversa.</w:t>
            </w:r>
          </w:p>
        </w:tc>
        <w:tc>
          <w:tcPr>
            <w:tcW w:w="2993" w:type="dxa"/>
          </w:tcPr>
          <w:p w14:paraId="73EA1BF8" w14:textId="77777777" w:rsidR="006D7D9F" w:rsidRDefault="00D91592">
            <w:r>
              <w:t>Incremento de la melanina epidérmica.</w:t>
            </w:r>
          </w:p>
          <w:p w14:paraId="773FE669" w14:textId="77777777" w:rsidR="00D91592" w:rsidRDefault="00D91592">
            <w:r>
              <w:t>Incremento del número de melanocitos.</w:t>
            </w:r>
          </w:p>
        </w:tc>
      </w:tr>
      <w:tr w:rsidR="00506DA6" w14:paraId="4194DB83" w14:textId="77777777" w:rsidTr="00506DA6">
        <w:tblPrEx>
          <w:tblLook w:val="04A0" w:firstRow="1" w:lastRow="0" w:firstColumn="1" w:lastColumn="0" w:noHBand="0" w:noVBand="1"/>
        </w:tblPrEx>
        <w:tc>
          <w:tcPr>
            <w:tcW w:w="2992" w:type="dxa"/>
          </w:tcPr>
          <w:p w14:paraId="2083090C" w14:textId="77777777" w:rsidR="00506DA6" w:rsidRDefault="00506DA6">
            <w:r>
              <w:t>5-Fluorouracilo</w:t>
            </w:r>
          </w:p>
        </w:tc>
        <w:tc>
          <w:tcPr>
            <w:tcW w:w="2993" w:type="dxa"/>
          </w:tcPr>
          <w:p w14:paraId="5DFED0BF" w14:textId="77777777" w:rsidR="00506DA6" w:rsidRDefault="00506DA6" w:rsidP="003245ED">
            <w:r>
              <w:t>Hiperpigmentación de las áreas expuestas al sol (&lt; 5%</w:t>
            </w:r>
            <w:r w:rsidR="00FA2E43">
              <w:t>) de</w:t>
            </w:r>
            <w:r>
              <w:t xml:space="preserve"> los pacientes tratados sistémicamente. Frecuentemente sigue una reacción eritematosa fotosensible. Incremento de la </w:t>
            </w:r>
            <w:r>
              <w:lastRenderedPageBreak/>
              <w:t>pigmentación de la piel sobre las venas en donde se hizo la infusión. También el e dorso de las manos, palma y planta y puertos de radiación.</w:t>
            </w:r>
            <w:r w:rsidR="003245ED">
              <w:t xml:space="preserve"> Melanoniquia transversa y difusa. Pigmentación de la lúnula.</w:t>
            </w:r>
          </w:p>
        </w:tc>
        <w:tc>
          <w:tcPr>
            <w:tcW w:w="2993" w:type="dxa"/>
          </w:tcPr>
          <w:p w14:paraId="139B22DB" w14:textId="77777777" w:rsidR="00506DA6" w:rsidRDefault="003245ED">
            <w:r>
              <w:lastRenderedPageBreak/>
              <w:t>Hiperpigmentación post-inflamatoria</w:t>
            </w:r>
          </w:p>
        </w:tc>
      </w:tr>
      <w:tr w:rsidR="00506DA6" w14:paraId="16B379B5" w14:textId="77777777" w:rsidTr="00506DA6">
        <w:tblPrEx>
          <w:tblLook w:val="04A0" w:firstRow="1" w:lastRow="0" w:firstColumn="1" w:lastColumn="0" w:noHBand="0" w:noVBand="1"/>
        </w:tblPrEx>
        <w:tc>
          <w:tcPr>
            <w:tcW w:w="2992" w:type="dxa"/>
          </w:tcPr>
          <w:p w14:paraId="06B61406" w14:textId="77777777" w:rsidR="00506DA6" w:rsidRDefault="003245ED">
            <w:r>
              <w:lastRenderedPageBreak/>
              <w:t>HYDROXYUREA</w:t>
            </w:r>
          </w:p>
        </w:tc>
        <w:tc>
          <w:tcPr>
            <w:tcW w:w="2993" w:type="dxa"/>
          </w:tcPr>
          <w:p w14:paraId="122ADF15" w14:textId="77777777" w:rsidR="00506DA6" w:rsidRDefault="003245ED">
            <w:r>
              <w:t>Hiperpigmentación reversible sobre los puntos de presión de la espalda. Melanoniquia longitudinal, transversa, difusa; pigmentación de la lúnula.</w:t>
            </w:r>
          </w:p>
        </w:tc>
        <w:tc>
          <w:tcPr>
            <w:tcW w:w="2993" w:type="dxa"/>
          </w:tcPr>
          <w:p w14:paraId="11BCE540" w14:textId="77777777" w:rsidR="00506DA6" w:rsidRDefault="003245ED">
            <w:r>
              <w:t>Erupción liquenoide con Hiperpigmentación post-inflamatoria.</w:t>
            </w:r>
          </w:p>
        </w:tc>
      </w:tr>
      <w:tr w:rsidR="00506DA6" w14:paraId="70F33066" w14:textId="77777777" w:rsidTr="00506DA6">
        <w:tblPrEx>
          <w:tblLook w:val="04A0" w:firstRow="1" w:lastRow="0" w:firstColumn="1" w:lastColumn="0" w:noHBand="0" w:noVBand="1"/>
        </w:tblPrEx>
        <w:tc>
          <w:tcPr>
            <w:tcW w:w="2992" w:type="dxa"/>
          </w:tcPr>
          <w:p w14:paraId="7E50C3BB" w14:textId="77777777" w:rsidR="00506DA6" w:rsidRDefault="0007439B">
            <w:r>
              <w:t xml:space="preserve">MECHLORETHAMINA (Mostaza nitrogenada) </w:t>
            </w:r>
          </w:p>
        </w:tc>
        <w:tc>
          <w:tcPr>
            <w:tcW w:w="2993" w:type="dxa"/>
          </w:tcPr>
          <w:p w14:paraId="7B71D8DD" w14:textId="77777777" w:rsidR="00506DA6" w:rsidRDefault="0007439B">
            <w:r>
              <w:t>El uso tópico en LCCT puede producir Hiperpigmentación generalizada, más intenso en las lesiones de la piel.</w:t>
            </w:r>
          </w:p>
        </w:tc>
        <w:tc>
          <w:tcPr>
            <w:tcW w:w="2993" w:type="dxa"/>
          </w:tcPr>
          <w:p w14:paraId="599980E8" w14:textId="77777777" w:rsidR="00506DA6" w:rsidRDefault="0007439B">
            <w:r>
              <w:t>Disgregación de los melanosomas dentro de los queratinocitos.</w:t>
            </w:r>
          </w:p>
        </w:tc>
      </w:tr>
      <w:tr w:rsidR="00506DA6" w14:paraId="112878D3" w14:textId="77777777" w:rsidTr="00506DA6">
        <w:tblPrEx>
          <w:tblLook w:val="04A0" w:firstRow="1" w:lastRow="0" w:firstColumn="1" w:lastColumn="0" w:noHBand="0" w:noVBand="1"/>
        </w:tblPrEx>
        <w:tc>
          <w:tcPr>
            <w:tcW w:w="2992" w:type="dxa"/>
          </w:tcPr>
          <w:p w14:paraId="3C94BD61" w14:textId="77777777" w:rsidR="00506DA6" w:rsidRDefault="00A7242A">
            <w:r>
              <w:t>METOTREXATO (MTX)</w:t>
            </w:r>
          </w:p>
        </w:tc>
        <w:tc>
          <w:tcPr>
            <w:tcW w:w="2993" w:type="dxa"/>
          </w:tcPr>
          <w:p w14:paraId="313203B0" w14:textId="77777777" w:rsidR="00506DA6" w:rsidRDefault="00A7242A">
            <w:r>
              <w:t xml:space="preserve">Hiperpigmentación uniforme de las áreas expuestas al sol. Ocasionalmente reacción de fotosensibilidad (Incomún) </w:t>
            </w:r>
          </w:p>
        </w:tc>
        <w:tc>
          <w:tcPr>
            <w:tcW w:w="2993" w:type="dxa"/>
          </w:tcPr>
          <w:p w14:paraId="66C43B6B" w14:textId="77777777" w:rsidR="00506DA6" w:rsidRDefault="00506DA6"/>
        </w:tc>
      </w:tr>
      <w:tr w:rsidR="00506DA6" w14:paraId="6B91876D" w14:textId="77777777" w:rsidTr="00506DA6">
        <w:tblPrEx>
          <w:tblLook w:val="04A0" w:firstRow="1" w:lastRow="0" w:firstColumn="1" w:lastColumn="0" w:noHBand="0" w:noVBand="1"/>
        </w:tblPrEx>
        <w:tc>
          <w:tcPr>
            <w:tcW w:w="2992" w:type="dxa"/>
          </w:tcPr>
          <w:p w14:paraId="58B00148" w14:textId="77777777" w:rsidR="00506DA6" w:rsidRDefault="00A7242A">
            <w:r>
              <w:t>ANTIMALARICOS</w:t>
            </w:r>
          </w:p>
          <w:p w14:paraId="732DFDB2" w14:textId="77777777" w:rsidR="00A7242A" w:rsidRDefault="00A7242A">
            <w:r>
              <w:t>(Cloroquina – Hidroxicloroquina – Quinacrina)</w:t>
            </w:r>
          </w:p>
        </w:tc>
        <w:tc>
          <w:tcPr>
            <w:tcW w:w="2993" w:type="dxa"/>
          </w:tcPr>
          <w:p w14:paraId="466A8E00" w14:textId="77777777" w:rsidR="00506DA6" w:rsidRDefault="00A7242A" w:rsidP="00A7242A">
            <w:r>
              <w:t xml:space="preserve">Pigmentación gris azulada usualmente en área pretibial, con hidoxicloroquina. La cara, paladar duro, esclerótica y áreas sub-ungueales, pueden verse. </w:t>
            </w:r>
            <w:r w:rsidR="00FA2E43">
              <w:t>Descoloración</w:t>
            </w:r>
            <w:r>
              <w:t xml:space="preserve"> amarillo difuso o amarillo </w:t>
            </w:r>
            <w:r w:rsidR="00FA2E43">
              <w:t>marronazo</w:t>
            </w:r>
            <w:r>
              <w:t xml:space="preserve"> </w:t>
            </w:r>
            <w:r w:rsidR="00DA5A1A">
              <w:t>con Quinacrian.</w:t>
            </w:r>
          </w:p>
          <w:p w14:paraId="00D6650E" w14:textId="77777777" w:rsidR="00DA5A1A" w:rsidRDefault="00FA2E43" w:rsidP="00A7242A">
            <w:r>
              <w:t>Descoloración</w:t>
            </w:r>
            <w:r w:rsidR="00DA5A1A">
              <w:t xml:space="preserve"> afecta al 25% de los pacientes.</w:t>
            </w:r>
          </w:p>
        </w:tc>
        <w:tc>
          <w:tcPr>
            <w:tcW w:w="2993" w:type="dxa"/>
          </w:tcPr>
          <w:p w14:paraId="3BEF6F67" w14:textId="77777777" w:rsidR="00506DA6" w:rsidRDefault="00DA5A1A">
            <w:r>
              <w:t>Deposito de complejo melanina-droga; hemosiderina alrededor de los capilares; puede desvanecerse después de suspender su uso, pero raramente se resuelve completamente.</w:t>
            </w:r>
          </w:p>
        </w:tc>
      </w:tr>
      <w:tr w:rsidR="00506DA6" w14:paraId="658113CE" w14:textId="77777777" w:rsidTr="00506DA6">
        <w:tblPrEx>
          <w:tblLook w:val="04A0" w:firstRow="1" w:lastRow="0" w:firstColumn="1" w:lastColumn="0" w:noHBand="0" w:noVBand="1"/>
        </w:tblPrEx>
        <w:tc>
          <w:tcPr>
            <w:tcW w:w="2992" w:type="dxa"/>
          </w:tcPr>
          <w:p w14:paraId="49055111" w14:textId="77777777" w:rsidR="00506DA6" w:rsidRDefault="00DA5A1A" w:rsidP="00DA5A1A">
            <w:r>
              <w:t>METALES PESADOS</w:t>
            </w:r>
          </w:p>
          <w:p w14:paraId="6C03C560" w14:textId="77777777" w:rsidR="00DA5A1A" w:rsidRDefault="00DA5A1A" w:rsidP="00DA5A1A">
            <w:r>
              <w:t>(ARSENICO)</w:t>
            </w:r>
          </w:p>
        </w:tc>
        <w:tc>
          <w:tcPr>
            <w:tcW w:w="2993" w:type="dxa"/>
          </w:tcPr>
          <w:p w14:paraId="67B7E9A9" w14:textId="77777777" w:rsidR="00506DA6" w:rsidRDefault="00DA5A1A" w:rsidP="00E1371D">
            <w:r>
              <w:t>Áreas de pigmentación bronceada + - superpuestas en forma de pigmentación suave en “gotas de lluvia</w:t>
            </w:r>
            <w:r w:rsidR="00FA2E43">
              <w:t>”;</w:t>
            </w:r>
            <w:r>
              <w:t xml:space="preserve"> favorece axilas, ingle, palma, planta, pezones, y puntos de presión. Despigmentación aparece 1-20 años después de la exposición </w:t>
            </w:r>
            <w:r w:rsidR="00E1371D">
              <w:t xml:space="preserve">relacionada con fuertes dosis. </w:t>
            </w:r>
          </w:p>
          <w:p w14:paraId="158BE6EB" w14:textId="77777777" w:rsidR="00E1371D" w:rsidRDefault="00E1371D" w:rsidP="00E1371D">
            <w:r>
              <w:t>Queratosis palmo-plantar y carcinoma espinocelular típicamente desarrollado después de la despigmentación.</w:t>
            </w:r>
          </w:p>
        </w:tc>
        <w:tc>
          <w:tcPr>
            <w:tcW w:w="2993" w:type="dxa"/>
          </w:tcPr>
          <w:p w14:paraId="332675C7" w14:textId="77777777" w:rsidR="00506DA6" w:rsidRDefault="00E1371D" w:rsidP="00E1371D">
            <w:r>
              <w:t xml:space="preserve">Deposito </w:t>
            </w:r>
            <w:r w:rsidR="00FA2E43">
              <w:t>epidérmico</w:t>
            </w:r>
            <w:r>
              <w:t xml:space="preserve"> y dérmico de arsénico. Incremento epidérmico de la síntesis de melanina.</w:t>
            </w:r>
          </w:p>
        </w:tc>
      </w:tr>
      <w:tr w:rsidR="00506DA6" w14:paraId="6B2F5F1A" w14:textId="77777777" w:rsidTr="00506DA6">
        <w:tblPrEx>
          <w:tblLook w:val="04A0" w:firstRow="1" w:lastRow="0" w:firstColumn="1" w:lastColumn="0" w:noHBand="0" w:noVBand="1"/>
        </w:tblPrEx>
        <w:tc>
          <w:tcPr>
            <w:tcW w:w="2992" w:type="dxa"/>
          </w:tcPr>
          <w:p w14:paraId="23E1AEBD" w14:textId="77777777" w:rsidR="00506DA6" w:rsidRDefault="00E1371D">
            <w:r>
              <w:t>METALES PESADOS</w:t>
            </w:r>
          </w:p>
          <w:p w14:paraId="23F94787" w14:textId="77777777" w:rsidR="00E1371D" w:rsidRDefault="00E1371D">
            <w:r>
              <w:t>(BISMUTO)</w:t>
            </w:r>
          </w:p>
        </w:tc>
        <w:tc>
          <w:tcPr>
            <w:tcW w:w="2993" w:type="dxa"/>
          </w:tcPr>
          <w:p w14:paraId="2D39C8BB" w14:textId="77777777" w:rsidR="00506DA6" w:rsidRDefault="00EB04EF" w:rsidP="00EB04EF">
            <w:r>
              <w:t xml:space="preserve">Descoloración azul grisácea generalizada de la cara, cuello </w:t>
            </w:r>
            <w:r>
              <w:lastRenderedPageBreak/>
              <w:t>y dorso de las manos. La mucosa bucal y las gingivas pueden estar comprometidas.</w:t>
            </w:r>
          </w:p>
        </w:tc>
        <w:tc>
          <w:tcPr>
            <w:tcW w:w="2993" w:type="dxa"/>
          </w:tcPr>
          <w:p w14:paraId="1CD67ABD" w14:textId="77777777" w:rsidR="00506DA6" w:rsidRDefault="00EB04EF">
            <w:r>
              <w:lastRenderedPageBreak/>
              <w:t>Gránulos de bismuto en la dermis papilar y reticular.</w:t>
            </w:r>
          </w:p>
        </w:tc>
      </w:tr>
      <w:tr w:rsidR="00506DA6" w14:paraId="782C9FA6" w14:textId="77777777" w:rsidTr="00506DA6">
        <w:tblPrEx>
          <w:tblLook w:val="04A0" w:firstRow="1" w:lastRow="0" w:firstColumn="1" w:lastColumn="0" w:noHBand="0" w:noVBand="1"/>
        </w:tblPrEx>
        <w:tc>
          <w:tcPr>
            <w:tcW w:w="2992" w:type="dxa"/>
          </w:tcPr>
          <w:p w14:paraId="13605C5D" w14:textId="77777777" w:rsidR="00506DA6" w:rsidRDefault="00EB04EF">
            <w:r>
              <w:lastRenderedPageBreak/>
              <w:t>METALES PESADOS</w:t>
            </w:r>
          </w:p>
          <w:p w14:paraId="72C40F42" w14:textId="77777777" w:rsidR="00EB04EF" w:rsidRDefault="00EB04EF">
            <w:r>
              <w:t xml:space="preserve">(ORO) </w:t>
            </w:r>
          </w:p>
        </w:tc>
        <w:tc>
          <w:tcPr>
            <w:tcW w:w="2993" w:type="dxa"/>
          </w:tcPr>
          <w:p w14:paraId="668A4F02" w14:textId="77777777" w:rsidR="00506DA6" w:rsidRDefault="00EB04EF">
            <w:r>
              <w:t>Descoloración azul-gris en las áreas expuestas al sol, principalmente alrededor de los ojos.</w:t>
            </w:r>
          </w:p>
        </w:tc>
        <w:tc>
          <w:tcPr>
            <w:tcW w:w="2993" w:type="dxa"/>
          </w:tcPr>
          <w:p w14:paraId="6305FFA1" w14:textId="77777777" w:rsidR="00506DA6" w:rsidRDefault="00EB04EF" w:rsidP="00EB04EF">
            <w:r>
              <w:t>Partículas de oro dentro de los lisosomas de los macrófagos dérmicos, especialmente en las áreas perivasculares y áreas periecrínas.</w:t>
            </w:r>
          </w:p>
        </w:tc>
      </w:tr>
    </w:tbl>
    <w:p w14:paraId="62F58D2D" w14:textId="77777777" w:rsidR="00506DA6" w:rsidRDefault="00506DA6"/>
    <w:tbl>
      <w:tblPr>
        <w:tblStyle w:val="TableGrid"/>
        <w:tblW w:w="0" w:type="auto"/>
        <w:tblLook w:val="04A0" w:firstRow="1" w:lastRow="0" w:firstColumn="1" w:lastColumn="0" w:noHBand="0" w:noVBand="1"/>
      </w:tblPr>
      <w:tblGrid>
        <w:gridCol w:w="2992"/>
        <w:gridCol w:w="2993"/>
        <w:gridCol w:w="2993"/>
        <w:gridCol w:w="38"/>
      </w:tblGrid>
      <w:tr w:rsidR="00EB04EF" w14:paraId="263BFFB6" w14:textId="77777777" w:rsidTr="00EB04EF">
        <w:trPr>
          <w:gridAfter w:val="1"/>
          <w:wAfter w:w="38" w:type="dxa"/>
        </w:trPr>
        <w:tc>
          <w:tcPr>
            <w:tcW w:w="8978" w:type="dxa"/>
            <w:gridSpan w:val="3"/>
          </w:tcPr>
          <w:tbl>
            <w:tblPr>
              <w:tblStyle w:val="TableGrid"/>
              <w:tblW w:w="0" w:type="auto"/>
              <w:tblLook w:val="04A0" w:firstRow="1" w:lastRow="0" w:firstColumn="1" w:lastColumn="0" w:noHBand="0" w:noVBand="1"/>
            </w:tblPr>
            <w:tblGrid>
              <w:gridCol w:w="2915"/>
              <w:gridCol w:w="2916"/>
              <w:gridCol w:w="2916"/>
            </w:tblGrid>
            <w:tr w:rsidR="00EB04EF" w14:paraId="4483FDC1" w14:textId="77777777" w:rsidTr="00EB04EF">
              <w:tc>
                <w:tcPr>
                  <w:tcW w:w="2915" w:type="dxa"/>
                </w:tcPr>
                <w:p w14:paraId="0135EA84" w14:textId="77777777" w:rsidR="00EB04EF" w:rsidRDefault="00EB04EF">
                  <w:r>
                    <w:t>METALES PESADO</w:t>
                  </w:r>
                </w:p>
                <w:p w14:paraId="0C728467" w14:textId="77777777" w:rsidR="00EB04EF" w:rsidRDefault="00EB04EF">
                  <w:r>
                    <w:t xml:space="preserve">(HIERRO) </w:t>
                  </w:r>
                </w:p>
              </w:tc>
              <w:tc>
                <w:tcPr>
                  <w:tcW w:w="2916" w:type="dxa"/>
                </w:tcPr>
                <w:p w14:paraId="204E0A9C" w14:textId="77777777" w:rsidR="00EB04EF" w:rsidRDefault="00EB04EF" w:rsidP="003637F9">
                  <w:r>
                    <w:t xml:space="preserve">Pigmentación marrón permanente </w:t>
                  </w:r>
                  <w:r w:rsidR="003637F9">
                    <w:t xml:space="preserve">en los sitios de inyección o áreas de aplicación de sulfato férrico (Monsel´s) agente hemostático. Depósito de hemosiderina dérmica debido a la lisis y extravasación de </w:t>
                  </w:r>
                  <w:r w:rsidR="00FA2E43">
                    <w:t>glóbulos rojos relacionados con</w:t>
                  </w:r>
                  <w:r w:rsidR="003637F9">
                    <w:t xml:space="preserve"> el depósito de hierro; ajuste de hipertensión venosa, dermatosis </w:t>
                  </w:r>
                  <w:r w:rsidR="00FA2E43">
                    <w:t>purpúreas</w:t>
                  </w:r>
                  <w:r w:rsidR="003637F9">
                    <w:t xml:space="preserve"> pigmentadas y como efecto secundario, no deseado, de la escleroterapia de las venas superficiales.</w:t>
                  </w:r>
                </w:p>
              </w:tc>
              <w:tc>
                <w:tcPr>
                  <w:tcW w:w="2916" w:type="dxa"/>
                </w:tcPr>
                <w:p w14:paraId="6CF9C192" w14:textId="77777777" w:rsidR="00EB04EF" w:rsidRDefault="003637F9">
                  <w:r>
                    <w:t>Pigmentación en mango o abrigo de las fibras de colágeno y depósito de macrófagos dérmicos.</w:t>
                  </w:r>
                </w:p>
              </w:tc>
            </w:tr>
            <w:tr w:rsidR="00EB04EF" w14:paraId="7BFED1B8" w14:textId="77777777" w:rsidTr="00EB04EF">
              <w:tc>
                <w:tcPr>
                  <w:tcW w:w="2915" w:type="dxa"/>
                </w:tcPr>
                <w:p w14:paraId="16AAB327" w14:textId="77777777" w:rsidR="00EB04EF" w:rsidRDefault="001362F0">
                  <w:r>
                    <w:t>METALES PESADO</w:t>
                  </w:r>
                  <w:r>
                    <w:br/>
                    <w:t xml:space="preserve">(PLOMO) </w:t>
                  </w:r>
                </w:p>
              </w:tc>
              <w:tc>
                <w:tcPr>
                  <w:tcW w:w="2916" w:type="dxa"/>
                </w:tcPr>
                <w:p w14:paraId="2DA79112" w14:textId="77777777" w:rsidR="00EB04EF" w:rsidRDefault="001362F0">
                  <w:r>
                    <w:t>Plomo lineal en márgenes de la gingiva. Descoloración de la uñas.</w:t>
                  </w:r>
                </w:p>
              </w:tc>
              <w:tc>
                <w:tcPr>
                  <w:tcW w:w="2916" w:type="dxa"/>
                </w:tcPr>
                <w:p w14:paraId="10753855" w14:textId="77777777" w:rsidR="00EB04EF" w:rsidRDefault="001362F0">
                  <w:r>
                    <w:t>Plomo lineal debido a los depósitos subepiteliales de gránulos de plomo.</w:t>
                  </w:r>
                </w:p>
              </w:tc>
            </w:tr>
            <w:tr w:rsidR="00EB04EF" w14:paraId="57B9AAA6" w14:textId="77777777" w:rsidTr="00EB04EF">
              <w:tc>
                <w:tcPr>
                  <w:tcW w:w="2915" w:type="dxa"/>
                </w:tcPr>
                <w:p w14:paraId="79C06C90" w14:textId="77777777" w:rsidR="00EB04EF" w:rsidRDefault="001362F0">
                  <w:r>
                    <w:t>METALES PESADOS</w:t>
                  </w:r>
                </w:p>
                <w:p w14:paraId="6611BFBB" w14:textId="77777777" w:rsidR="001362F0" w:rsidRDefault="001362F0">
                  <w:r>
                    <w:t>(MERCURIO)</w:t>
                  </w:r>
                </w:p>
              </w:tc>
              <w:tc>
                <w:tcPr>
                  <w:tcW w:w="2916" w:type="dxa"/>
                </w:tcPr>
                <w:p w14:paraId="51F546AB" w14:textId="77777777" w:rsidR="00EB04EF" w:rsidRDefault="001362F0">
                  <w:r>
                    <w:t>Descoloración color pizarra particularmente en los pliegues de la piel.</w:t>
                  </w:r>
                </w:p>
              </w:tc>
              <w:tc>
                <w:tcPr>
                  <w:tcW w:w="2916" w:type="dxa"/>
                </w:tcPr>
                <w:p w14:paraId="49A4F0E0" w14:textId="77777777" w:rsidR="00EB04EF" w:rsidRDefault="00FA2E43">
                  <w:r>
                    <w:t>Gránulos</w:t>
                  </w:r>
                  <w:r w:rsidR="001362F0">
                    <w:t xml:space="preserve"> marrón oscuros (negruzcos) libres en dermis, asociadas con fibras elásticas y dentro de los macrófagos.</w:t>
                  </w:r>
                </w:p>
              </w:tc>
            </w:tr>
            <w:tr w:rsidR="00EB04EF" w14:paraId="1AD8E1A7" w14:textId="77777777" w:rsidTr="00EB04EF">
              <w:tc>
                <w:tcPr>
                  <w:tcW w:w="2915" w:type="dxa"/>
                </w:tcPr>
                <w:p w14:paraId="08D48404" w14:textId="77777777" w:rsidR="00EB04EF" w:rsidRDefault="001362F0">
                  <w:r>
                    <w:t>METALES PESADOS</w:t>
                  </w:r>
                </w:p>
                <w:p w14:paraId="5BD93B88" w14:textId="77777777" w:rsidR="001362F0" w:rsidRDefault="001362F0">
                  <w:r>
                    <w:t xml:space="preserve">(PLATA) </w:t>
                  </w:r>
                </w:p>
              </w:tc>
              <w:tc>
                <w:tcPr>
                  <w:tcW w:w="2916" w:type="dxa"/>
                </w:tcPr>
                <w:p w14:paraId="37CDC572" w14:textId="77777777" w:rsidR="00EB04EF" w:rsidRDefault="001362F0" w:rsidP="001125FF">
                  <w:r>
                    <w:t xml:space="preserve">Descoloración </w:t>
                  </w:r>
                  <w:r w:rsidR="001125FF">
                    <w:t xml:space="preserve">gris </w:t>
                  </w:r>
                  <w:r>
                    <w:t>pizarra difuso, princip</w:t>
                  </w:r>
                  <w:r w:rsidR="001125FF">
                    <w:t>almente</w:t>
                  </w:r>
                  <w:r>
                    <w:t xml:space="preserve"> en áreas expuestas al sol. Ocurre en los fraguados de </w:t>
                  </w:r>
                  <w:r w:rsidR="00FA2E43">
                    <w:t>exposiciones,</w:t>
                  </w:r>
                  <w:r>
                    <w:t xml:space="preserve"> medicina alternativa, sistémica, su absorción por uso de la plata </w:t>
                  </w:r>
                  <w:r w:rsidR="00BD131E">
                    <w:t xml:space="preserve">Sulfadiazina en áreas extensa, como en los quemados. En las uñas difusa o localizada </w:t>
                  </w:r>
                  <w:r w:rsidR="00FA2E43">
                    <w:t>lúnula</w:t>
                  </w:r>
                  <w:r w:rsidR="00BD131E">
                    <w:t xml:space="preserve"> y    esclerosis.</w:t>
                  </w:r>
                </w:p>
              </w:tc>
              <w:tc>
                <w:tcPr>
                  <w:tcW w:w="2916" w:type="dxa"/>
                </w:tcPr>
                <w:p w14:paraId="6C1C759C" w14:textId="77777777" w:rsidR="00EB04EF" w:rsidRDefault="00FA2E43">
                  <w:r>
                    <w:t>Gránulos</w:t>
                  </w:r>
                  <w:r w:rsidR="00BD131E">
                    <w:t xml:space="preserve"> de plata en la membrana basal y en la membrana propia de las glándulas ecrínas, se destacan bien en campo oscuro.</w:t>
                  </w:r>
                </w:p>
              </w:tc>
            </w:tr>
            <w:tr w:rsidR="00EB04EF" w14:paraId="66635077" w14:textId="77777777" w:rsidTr="00EB04EF">
              <w:tc>
                <w:tcPr>
                  <w:tcW w:w="2915" w:type="dxa"/>
                </w:tcPr>
                <w:p w14:paraId="0D558070" w14:textId="77777777" w:rsidR="00EB04EF" w:rsidRDefault="00BD131E">
                  <w:r>
                    <w:t>CONTRACEPTIVOS ORALES</w:t>
                  </w:r>
                </w:p>
              </w:tc>
              <w:tc>
                <w:tcPr>
                  <w:tcW w:w="2916" w:type="dxa"/>
                </w:tcPr>
                <w:p w14:paraId="242D0814" w14:textId="77777777" w:rsidR="00EB04EF" w:rsidRDefault="00BD131E">
                  <w:r>
                    <w:t>Melasma, incremento de la pigmentación de los pezones y de los nevos.</w:t>
                  </w:r>
                </w:p>
              </w:tc>
              <w:tc>
                <w:tcPr>
                  <w:tcW w:w="2916" w:type="dxa"/>
                </w:tcPr>
                <w:p w14:paraId="6E9BB45D" w14:textId="77777777" w:rsidR="00EB04EF" w:rsidRDefault="00BD131E">
                  <w:r>
                    <w:t>Incremento de la melanocitos  e incremento de la síntesis de la melanina.</w:t>
                  </w:r>
                </w:p>
              </w:tc>
            </w:tr>
            <w:tr w:rsidR="00EB04EF" w14:paraId="212E39A0" w14:textId="77777777" w:rsidTr="00EB04EF">
              <w:tc>
                <w:tcPr>
                  <w:tcW w:w="2915" w:type="dxa"/>
                </w:tcPr>
                <w:p w14:paraId="0B12C8AA" w14:textId="77777777" w:rsidR="00EB04EF" w:rsidRDefault="00BD131E">
                  <w:r>
                    <w:t xml:space="preserve">ACTH/MSH (ACTH </w:t>
                  </w:r>
                </w:p>
                <w:p w14:paraId="6AA8D6A8" w14:textId="77777777" w:rsidR="00BD131E" w:rsidRDefault="00BD131E">
                  <w:r>
                    <w:lastRenderedPageBreak/>
                    <w:t xml:space="preserve"> Es raramente usada (NIe4-D-Phe7)</w:t>
                  </w:r>
                  <w:r>
                    <w:rPr>
                      <w:rFonts w:cstheme="minorHAnsi"/>
                    </w:rPr>
                    <w:t>α</w:t>
                  </w:r>
                  <w:r>
                    <w:t xml:space="preserve">-MSH </w:t>
                  </w:r>
                  <w:r w:rsidR="000B66AE">
                    <w:t>No aprobada FDA</w:t>
                  </w:r>
                </w:p>
              </w:tc>
              <w:tc>
                <w:tcPr>
                  <w:tcW w:w="2916" w:type="dxa"/>
                </w:tcPr>
                <w:p w14:paraId="6A3FCE02" w14:textId="77777777" w:rsidR="00EB04EF" w:rsidRDefault="000B66AE">
                  <w:r>
                    <w:lastRenderedPageBreak/>
                    <w:t xml:space="preserve">Hiperpigmentación marrón o </w:t>
                  </w:r>
                  <w:r>
                    <w:lastRenderedPageBreak/>
                    <w:t>bronceada, acentuada en áreas expuestas al sol.</w:t>
                  </w:r>
                </w:p>
              </w:tc>
              <w:tc>
                <w:tcPr>
                  <w:tcW w:w="2916" w:type="dxa"/>
                </w:tcPr>
                <w:p w14:paraId="2CCF20E8" w14:textId="77777777" w:rsidR="00EB04EF" w:rsidRDefault="000B66AE">
                  <w:r>
                    <w:lastRenderedPageBreak/>
                    <w:t xml:space="preserve">Incremento síntesis de la </w:t>
                  </w:r>
                  <w:r>
                    <w:lastRenderedPageBreak/>
                    <w:t>melanina.</w:t>
                  </w:r>
                </w:p>
              </w:tc>
            </w:tr>
            <w:tr w:rsidR="00EB04EF" w14:paraId="1D111FF4" w14:textId="77777777" w:rsidTr="00EB04EF">
              <w:tc>
                <w:tcPr>
                  <w:tcW w:w="2915" w:type="dxa"/>
                </w:tcPr>
                <w:p w14:paraId="056584B2" w14:textId="77777777" w:rsidR="00EB04EF" w:rsidRDefault="000B66AE">
                  <w:r>
                    <w:lastRenderedPageBreak/>
                    <w:t>MISCELANEAS</w:t>
                  </w:r>
                </w:p>
                <w:p w14:paraId="22A064C7" w14:textId="77777777" w:rsidR="000B66AE" w:rsidRDefault="000B66AE">
                  <w:r>
                    <w:t>(AMIODARONA)</w:t>
                  </w:r>
                </w:p>
              </w:tc>
              <w:tc>
                <w:tcPr>
                  <w:tcW w:w="2916" w:type="dxa"/>
                </w:tcPr>
                <w:p w14:paraId="7E46DE09" w14:textId="77777777" w:rsidR="00EB04EF" w:rsidRDefault="00964EE6">
                  <w:r>
                    <w:t>Descoloración pizarra a violácea en áreas expuestas al sol, especialmente la cara, menos común eritema por fotosensibilidad; más frecuente en pacientes con piel clara después de largos periodos y continuos de tratamiento.</w:t>
                  </w:r>
                </w:p>
              </w:tc>
              <w:tc>
                <w:tcPr>
                  <w:tcW w:w="2916" w:type="dxa"/>
                </w:tcPr>
                <w:p w14:paraId="7FC104DD" w14:textId="77777777" w:rsidR="00EB04EF" w:rsidRDefault="00964EE6">
                  <w:r>
                    <w:t xml:space="preserve">Gránulos </w:t>
                  </w:r>
                  <w:r w:rsidR="00150071">
                    <w:t xml:space="preserve">amarillo </w:t>
                  </w:r>
                  <w:r w:rsidR="00FA2E43">
                    <w:t>marrón en</w:t>
                  </w:r>
                  <w:r w:rsidR="00150071">
                    <w:t xml:space="preserve"> los macrófagos de la dermis principalmente perivascular.Por ME , inclusión </w:t>
                  </w:r>
                  <w:r w:rsidR="00FA2E43">
                    <w:t>lisosoma</w:t>
                  </w:r>
                  <w:r w:rsidR="00150071">
                    <w:t xml:space="preserve"> compuestos por sustancia similar a lípidos (lipid-laike)</w:t>
                  </w:r>
                </w:p>
                <w:p w14:paraId="2AE48D65" w14:textId="77777777" w:rsidR="00240211" w:rsidRDefault="00240211">
                  <w:r>
                    <w:t>Usualmente se desvanece completamente después de meses a años al descontinuar la droga, pero algunas veces persiste.</w:t>
                  </w:r>
                </w:p>
              </w:tc>
            </w:tr>
            <w:tr w:rsidR="00EB04EF" w14:paraId="60FF1EDB" w14:textId="77777777" w:rsidTr="00EB04EF">
              <w:tc>
                <w:tcPr>
                  <w:tcW w:w="2915" w:type="dxa"/>
                </w:tcPr>
                <w:p w14:paraId="35039953" w14:textId="77777777" w:rsidR="00EB04EF" w:rsidRDefault="00240211">
                  <w:r>
                    <w:t>AZIDOTIMIDINA</w:t>
                  </w:r>
                </w:p>
                <w:p w14:paraId="661DDC24" w14:textId="77777777" w:rsidR="00240211" w:rsidRDefault="00240211">
                  <w:r>
                    <w:t>(ZIDOVUDINA, AZT)</w:t>
                  </w:r>
                </w:p>
              </w:tc>
              <w:tc>
                <w:tcPr>
                  <w:tcW w:w="2916" w:type="dxa"/>
                </w:tcPr>
                <w:p w14:paraId="22934CDD" w14:textId="77777777" w:rsidR="00EB04EF" w:rsidRDefault="00240211">
                  <w:r>
                    <w:t xml:space="preserve">Melanoniquia longitudinal, transversa, difusa, acral, </w:t>
                  </w:r>
                  <w:r w:rsidR="00FA2E43">
                    <w:t>macular</w:t>
                  </w:r>
                  <w:r>
                    <w:t xml:space="preserve"> bucales. Más comúnmente en pacientes con piel pigmentada oscura y puede ser acentuada en áreas de fricción o áreas expuestas al sol.</w:t>
                  </w:r>
                </w:p>
              </w:tc>
              <w:tc>
                <w:tcPr>
                  <w:tcW w:w="2916" w:type="dxa"/>
                </w:tcPr>
                <w:p w14:paraId="07F87076" w14:textId="77777777" w:rsidR="00EB04EF" w:rsidRDefault="00240211">
                  <w:r>
                    <w:t>Incremento de la melanina en la epidermis y en los macrófagos de la dermis. Desvanecimiento gradual después de descontinuar la droga.</w:t>
                  </w:r>
                </w:p>
              </w:tc>
            </w:tr>
          </w:tbl>
          <w:p w14:paraId="364F960B" w14:textId="77777777" w:rsidR="00EB04EF" w:rsidRDefault="00EB04EF"/>
        </w:tc>
      </w:tr>
      <w:tr w:rsidR="001C7C6B" w14:paraId="09053D3F" w14:textId="77777777" w:rsidTr="001C7C6B">
        <w:tc>
          <w:tcPr>
            <w:tcW w:w="2992" w:type="dxa"/>
          </w:tcPr>
          <w:p w14:paraId="66CDA92E" w14:textId="77777777" w:rsidR="001C7C6B" w:rsidRDefault="001C7C6B">
            <w:r>
              <w:lastRenderedPageBreak/>
              <w:t>COFAZIMINA</w:t>
            </w:r>
          </w:p>
        </w:tc>
        <w:tc>
          <w:tcPr>
            <w:tcW w:w="2993" w:type="dxa"/>
          </w:tcPr>
          <w:p w14:paraId="7AE02F29" w14:textId="77777777" w:rsidR="001C7C6B" w:rsidRDefault="001C7C6B">
            <w:r>
              <w:t>Descoloración roja a rojo bronceado de la piel y conjuntiva.</w:t>
            </w:r>
          </w:p>
          <w:p w14:paraId="057E35DA" w14:textId="77777777" w:rsidR="001C7C6B" w:rsidRDefault="001C7C6B">
            <w:r>
              <w:t>Descoloración violeta marrón a gris azulada especialmente en las lesiones de la piel.</w:t>
            </w:r>
          </w:p>
        </w:tc>
        <w:tc>
          <w:tcPr>
            <w:tcW w:w="2993" w:type="dxa"/>
            <w:gridSpan w:val="2"/>
          </w:tcPr>
          <w:p w14:paraId="55E4ACB5" w14:textId="77777777" w:rsidR="001C7C6B" w:rsidRDefault="00BA1CC9">
            <w:r>
              <w:t>Coloración rojo secundario a los depósitos en grasa (altamente lipofílico)</w:t>
            </w:r>
          </w:p>
          <w:p w14:paraId="40C284A7" w14:textId="77777777" w:rsidR="00BA1CC9" w:rsidRDefault="00BA1CC9">
            <w:r>
              <w:t>Pigmento color violeta-azul  a los pigmentos granulares marrones dentro de los macrófagos de la dermis.</w:t>
            </w:r>
          </w:p>
          <w:p w14:paraId="0167DFE6" w14:textId="77777777" w:rsidR="00BA1CC9" w:rsidRDefault="00BA1CC9">
            <w:r>
              <w:t xml:space="preserve">Por </w:t>
            </w:r>
            <w:r w:rsidR="00FA2E43">
              <w:t>ME,</w:t>
            </w:r>
            <w:r>
              <w:t xml:space="preserve"> fagolisosomas que contiene material gránulos amorfos  y estructuras lamelares</w:t>
            </w:r>
            <w:r w:rsidR="007E466F">
              <w:t xml:space="preserve"> caracterí</w:t>
            </w:r>
            <w:r>
              <w:t>sticas de lipofucina</w:t>
            </w:r>
            <w:r w:rsidR="007E466F">
              <w:t>. Se desvanece gradualmente después descontinuar la droga.</w:t>
            </w:r>
          </w:p>
        </w:tc>
      </w:tr>
      <w:tr w:rsidR="001C7C6B" w14:paraId="78D76159" w14:textId="77777777" w:rsidTr="001C7C6B">
        <w:tc>
          <w:tcPr>
            <w:tcW w:w="2992" w:type="dxa"/>
          </w:tcPr>
          <w:p w14:paraId="290B4054" w14:textId="77777777" w:rsidR="001C7C6B" w:rsidRDefault="00AE5592">
            <w:r>
              <w:t>DILTIAZE</w:t>
            </w:r>
            <w:r w:rsidR="0069072C">
              <w:t>M</w:t>
            </w:r>
          </w:p>
        </w:tc>
        <w:tc>
          <w:tcPr>
            <w:tcW w:w="2993" w:type="dxa"/>
          </w:tcPr>
          <w:p w14:paraId="2FAF9C76" w14:textId="77777777" w:rsidR="001C7C6B" w:rsidRDefault="0069072C">
            <w:r>
              <w:t xml:space="preserve">Descoloración color </w:t>
            </w:r>
            <w:r w:rsidR="00FA2E43">
              <w:t>pizarra</w:t>
            </w:r>
            <w:r>
              <w:t xml:space="preserve"> a marrón </w:t>
            </w:r>
            <w:r w:rsidR="00FA2E43">
              <w:t>grisáceo</w:t>
            </w:r>
            <w:r>
              <w:t xml:space="preserve"> en áreas expuestas de la piel en fototipo IV-VI, perifolicular y un patrón reticular puede ser observado.</w:t>
            </w:r>
          </w:p>
        </w:tc>
        <w:tc>
          <w:tcPr>
            <w:tcW w:w="2993" w:type="dxa"/>
            <w:gridSpan w:val="2"/>
          </w:tcPr>
          <w:p w14:paraId="7F123710" w14:textId="77777777" w:rsidR="001C7C6B" w:rsidRDefault="0069072C" w:rsidP="0069072C">
            <w:r>
              <w:t>Infiltrado liquenoide escaso y numerosos melanófagos  en dermis.</w:t>
            </w:r>
          </w:p>
        </w:tc>
      </w:tr>
      <w:tr w:rsidR="001C7C6B" w14:paraId="407659FD" w14:textId="77777777" w:rsidTr="001C7C6B">
        <w:tc>
          <w:tcPr>
            <w:tcW w:w="2992" w:type="dxa"/>
          </w:tcPr>
          <w:p w14:paraId="79BE9794" w14:textId="77777777" w:rsidR="001C7C6B" w:rsidRDefault="0069072C">
            <w:r>
              <w:t>DIOXINAS</w:t>
            </w:r>
          </w:p>
        </w:tc>
        <w:tc>
          <w:tcPr>
            <w:tcW w:w="2993" w:type="dxa"/>
          </w:tcPr>
          <w:p w14:paraId="1FC9F989" w14:textId="77777777" w:rsidR="001C7C6B" w:rsidRDefault="001E0AEC">
            <w:r>
              <w:t>Hiperpigmentación en áreas expuestas al sol. Cloacne es más es más común en piel</w:t>
            </w:r>
            <w:r w:rsidR="002E7666">
              <w:t xml:space="preserve"> investigada.</w:t>
            </w:r>
          </w:p>
        </w:tc>
        <w:tc>
          <w:tcPr>
            <w:tcW w:w="2993" w:type="dxa"/>
            <w:gridSpan w:val="2"/>
          </w:tcPr>
          <w:p w14:paraId="2276BE7C" w14:textId="77777777" w:rsidR="001C7C6B" w:rsidRDefault="002E7666">
            <w:r>
              <w:t>Rara, excepto exposición accidental.</w:t>
            </w:r>
          </w:p>
        </w:tc>
      </w:tr>
      <w:tr w:rsidR="001C7C6B" w14:paraId="74630B8D" w14:textId="77777777" w:rsidTr="001C7C6B">
        <w:tc>
          <w:tcPr>
            <w:tcW w:w="2992" w:type="dxa"/>
          </w:tcPr>
          <w:p w14:paraId="17670891" w14:textId="77777777" w:rsidR="001C7C6B" w:rsidRDefault="002E7666">
            <w:r>
              <w:t>HIDROQUINONA</w:t>
            </w:r>
          </w:p>
        </w:tc>
        <w:tc>
          <w:tcPr>
            <w:tcW w:w="2993" w:type="dxa"/>
          </w:tcPr>
          <w:p w14:paraId="66C06B5B" w14:textId="77777777" w:rsidR="001C7C6B" w:rsidRDefault="002E7666">
            <w:r>
              <w:t xml:space="preserve">Hiperpigmentación en áreas </w:t>
            </w:r>
            <w:r>
              <w:lastRenderedPageBreak/>
              <w:t xml:space="preserve">de aplicación debido a la dermatitis de contacto irritativa (posinflamatoro) u ocronosis exógena; más tardíamente puede también presentarse pápulas pequeñas (caviar-like </w:t>
            </w:r>
            <w:r w:rsidR="00FA2E43">
              <w:t>pápulas</w:t>
            </w:r>
            <w:r>
              <w:t>)</w:t>
            </w:r>
          </w:p>
        </w:tc>
        <w:tc>
          <w:tcPr>
            <w:tcW w:w="2993" w:type="dxa"/>
            <w:gridSpan w:val="2"/>
          </w:tcPr>
          <w:p w14:paraId="7EE3633D" w14:textId="77777777" w:rsidR="001C7C6B" w:rsidRDefault="002E7666" w:rsidP="009E6C6D">
            <w:r>
              <w:lastRenderedPageBreak/>
              <w:t>En la ocronosis exógena</w:t>
            </w:r>
            <w:r w:rsidR="009E6C6D">
              <w:t xml:space="preserve">, </w:t>
            </w:r>
            <w:r>
              <w:t xml:space="preserve"> fibras </w:t>
            </w:r>
            <w:r>
              <w:lastRenderedPageBreak/>
              <w:t>en forma de bananas</w:t>
            </w:r>
            <w:r w:rsidR="009E6C6D">
              <w:t xml:space="preserve"> amarilla-marrón en la dermis papilar. Se presume que el mecanismo es por metabolismo de hidroquinona por melanocitos dentro de las estructuras en anillo que sirven como precursores de las fibras ocronóticas. Puede desvanecerse al descontinuar la hidroquinona.</w:t>
            </w:r>
          </w:p>
        </w:tc>
      </w:tr>
      <w:tr w:rsidR="001C7C6B" w14:paraId="4F14F7A8" w14:textId="77777777" w:rsidTr="001C7C6B">
        <w:tc>
          <w:tcPr>
            <w:tcW w:w="2992" w:type="dxa"/>
          </w:tcPr>
          <w:p w14:paraId="16BF0BBF" w14:textId="77777777" w:rsidR="001C7C6B" w:rsidRDefault="009E6C6D">
            <w:r>
              <w:lastRenderedPageBreak/>
              <w:t>IMATIMID</w:t>
            </w:r>
          </w:p>
        </w:tc>
        <w:tc>
          <w:tcPr>
            <w:tcW w:w="2993" w:type="dxa"/>
          </w:tcPr>
          <w:p w14:paraId="3A326B0A" w14:textId="77777777" w:rsidR="001C7C6B" w:rsidRDefault="009E6C6D">
            <w:r>
              <w:t xml:space="preserve">Hiperpigmentación localizada y difusa (&lt; 5% de los pacientes) Melanoniquia </w:t>
            </w:r>
            <w:r w:rsidR="00FA2E43">
              <w:t>difusa,</w:t>
            </w:r>
            <w:r>
              <w:t xml:space="preserve"> repigmentación gris de los cabellos y pigmentación de los dientes y encías.</w:t>
            </w:r>
          </w:p>
        </w:tc>
        <w:tc>
          <w:tcPr>
            <w:tcW w:w="2993" w:type="dxa"/>
            <w:gridSpan w:val="2"/>
          </w:tcPr>
          <w:p w14:paraId="3B413181" w14:textId="77777777" w:rsidR="001C7C6B" w:rsidRDefault="009E6C6D">
            <w:r>
              <w:t>Hipo o despigmentación localizada o difusa es muy común (40%-60%) en pacientes con piel oscura.</w:t>
            </w:r>
          </w:p>
        </w:tc>
      </w:tr>
      <w:tr w:rsidR="001C7C6B" w14:paraId="213D56BC" w14:textId="77777777" w:rsidTr="001C7C6B">
        <w:tc>
          <w:tcPr>
            <w:tcW w:w="2992" w:type="dxa"/>
          </w:tcPr>
          <w:p w14:paraId="726DC10B" w14:textId="77777777" w:rsidR="001C7C6B" w:rsidRDefault="009E6C6D">
            <w:r>
              <w:t>MINOCICLINA</w:t>
            </w:r>
          </w:p>
        </w:tc>
        <w:tc>
          <w:tcPr>
            <w:tcW w:w="2993" w:type="dxa"/>
          </w:tcPr>
          <w:p w14:paraId="7793BB1A" w14:textId="77777777" w:rsidR="001C7C6B" w:rsidRDefault="009E6C6D">
            <w:r>
              <w:t>Tipo I: descol</w:t>
            </w:r>
            <w:r w:rsidR="009A53A7">
              <w:t>oración azul oscura en sitios de inflamación y cicatrices, incluyendo las debidas al acné.</w:t>
            </w:r>
          </w:p>
          <w:p w14:paraId="797DDB3D" w14:textId="77777777" w:rsidR="009A53A7" w:rsidRDefault="009A53A7" w:rsidP="009A53A7">
            <w:r>
              <w:t xml:space="preserve">Tipo II: placas/máculas  azul – </w:t>
            </w:r>
            <w:r w:rsidR="00FA2E43">
              <w:t>grisáceas</w:t>
            </w:r>
            <w:r>
              <w:t xml:space="preserve"> (1mm-10 mm) dentro de una piel normal previamente, más frecuentemente en las espinillas, algunas veces subdiagnosticada como equimosis.</w:t>
            </w:r>
          </w:p>
          <w:p w14:paraId="6C50AAAB" w14:textId="77777777" w:rsidR="00B044D1" w:rsidRDefault="00B044D1" w:rsidP="009A53A7">
            <w:r>
              <w:t xml:space="preserve">Tipo III pigmentación difusa lodoso o fangoso </w:t>
            </w:r>
            <w:r w:rsidR="00FA2E43">
              <w:t>marrón</w:t>
            </w:r>
            <w:r w:rsidR="00F65BA4">
              <w:t xml:space="preserve"> </w:t>
            </w:r>
            <w:r w:rsidR="00FA2E43">
              <w:t>más</w:t>
            </w:r>
            <w:r w:rsidR="00F65BA4">
              <w:t xml:space="preserve"> frecuente en las zonas expuestas al sol.</w:t>
            </w:r>
          </w:p>
          <w:p w14:paraId="6DB05788" w14:textId="77777777" w:rsidR="00F65BA4" w:rsidRDefault="00F65BA4" w:rsidP="009A53A7">
            <w:r>
              <w:t>Coloración azul oscura también también puede envolver uñas, esclerótica, mucosa bucal, huesos, tiroides y dientes.</w:t>
            </w:r>
          </w:p>
        </w:tc>
        <w:tc>
          <w:tcPr>
            <w:tcW w:w="2993" w:type="dxa"/>
            <w:gridSpan w:val="2"/>
          </w:tcPr>
          <w:p w14:paraId="211AEE86" w14:textId="77777777" w:rsidR="001C7C6B" w:rsidRDefault="009A53A7" w:rsidP="00B044D1">
            <w:r>
              <w:t>Los tipos I y II contienen  hierro o contienen melanina (tipo II) como pigmento granular dentro de la dermis.</w:t>
            </w:r>
            <w:r w:rsidR="00F65BA4">
              <w:t xml:space="preserve"> </w:t>
            </w:r>
            <w:r>
              <w:t xml:space="preserve">Las formas antiguas pueden ser intra o extracelular y pueden representar hemosiderina y/o derivados de minociclina más hiero quelado. Incremento de la melanina dentro de la epidermis  basal y/o </w:t>
            </w:r>
            <w:r w:rsidR="00B044D1">
              <w:t>m</w:t>
            </w:r>
            <w:r>
              <w:t xml:space="preserve">elanófagos </w:t>
            </w:r>
            <w:r w:rsidR="00B044D1">
              <w:t>(tipo III) Minociclina es altamente liposoluble, amarillento, material cristalino que se torna oscuro</w:t>
            </w:r>
            <w:r w:rsidR="00F65BA4">
              <w:t xml:space="preserve"> con la oxidación. Se pueden desvanecer al descontinuar la </w:t>
            </w:r>
            <w:r w:rsidR="00FA2E43">
              <w:t>droga,</w:t>
            </w:r>
            <w:r w:rsidR="00F65BA4">
              <w:t xml:space="preserve"> pero puede tomar meses o aún años. Los tipos I y II tratamiento con Q-switched actuando directamente sobre el pigmento (como en los tatuajes)  puede mejorar la pigmentación.</w:t>
            </w:r>
          </w:p>
        </w:tc>
      </w:tr>
      <w:tr w:rsidR="001C7C6B" w14:paraId="7E6A1662" w14:textId="77777777" w:rsidTr="001C7C6B">
        <w:tc>
          <w:tcPr>
            <w:tcW w:w="2992" w:type="dxa"/>
          </w:tcPr>
          <w:p w14:paraId="49352BC9" w14:textId="77777777" w:rsidR="001C7C6B" w:rsidRDefault="00F65BA4">
            <w:r>
              <w:t>PSORALENOS</w:t>
            </w:r>
          </w:p>
        </w:tc>
        <w:tc>
          <w:tcPr>
            <w:tcW w:w="2993" w:type="dxa"/>
          </w:tcPr>
          <w:p w14:paraId="17DD8E6C" w14:textId="77777777" w:rsidR="001C7C6B" w:rsidRDefault="00F65BA4">
            <w:r>
              <w:t xml:space="preserve">Hiperpigmentación difusa después a la exposición UVA seguida a la administración oral (PUVA); </w:t>
            </w:r>
            <w:r w:rsidR="00D70411">
              <w:t xml:space="preserve">rayas circunscritas o </w:t>
            </w:r>
            <w:r w:rsidR="00FA2E43">
              <w:t>lineales</w:t>
            </w:r>
            <w:r w:rsidR="00D70411">
              <w:t xml:space="preserve"> de Hiperpigmentación pueden ser </w:t>
            </w:r>
            <w:r w:rsidR="00D70411">
              <w:lastRenderedPageBreak/>
              <w:t>vistas con la exposición tópica ( PUVA tópico o fitofotodermatosis – exposición a plantas que contienen psorale</w:t>
            </w:r>
            <w:r w:rsidR="004D5598">
              <w:t>no</w:t>
            </w:r>
            <w:r w:rsidR="00D70411">
              <w:t>s más exposición a luz solar)</w:t>
            </w:r>
          </w:p>
        </w:tc>
        <w:tc>
          <w:tcPr>
            <w:tcW w:w="2993" w:type="dxa"/>
            <w:gridSpan w:val="2"/>
          </w:tcPr>
          <w:p w14:paraId="29AD74E4" w14:textId="77777777" w:rsidR="001C7C6B" w:rsidRDefault="00D70411" w:rsidP="00D70411">
            <w:r>
              <w:lastRenderedPageBreak/>
              <w:t>Proliferación de melanocitos foliculares, con incremento de la síntesis y trasferencia de melanina. Unos  melanosomas dispersos dentro de los queratinocitos</w:t>
            </w:r>
          </w:p>
        </w:tc>
      </w:tr>
    </w:tbl>
    <w:p w14:paraId="46E99959" w14:textId="77777777" w:rsidR="00EB04EF" w:rsidRDefault="00EB04EF"/>
    <w:p w14:paraId="0AACCCF8" w14:textId="77777777" w:rsidR="003F0009" w:rsidRPr="003F0009" w:rsidRDefault="003F0009">
      <w:pPr>
        <w:rPr>
          <w:rFonts w:ascii="Times New Roman" w:hAnsi="Times New Roman" w:cs="Times New Roman"/>
          <w:sz w:val="18"/>
          <w:szCs w:val="18"/>
        </w:rPr>
      </w:pPr>
      <w:r w:rsidRPr="003F0009">
        <w:rPr>
          <w:rFonts w:ascii="Times New Roman" w:hAnsi="Times New Roman" w:cs="Times New Roman"/>
          <w:sz w:val="18"/>
          <w:szCs w:val="18"/>
        </w:rPr>
        <w:t>Fuente: Dermatology. Jean L.Bolognia- Joseph L. Jorizzo – Ronald P. Rapino . 2 edition</w:t>
      </w:r>
    </w:p>
    <w:sectPr w:rsidR="003F0009" w:rsidRPr="003F0009" w:rsidSect="00816B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D9F"/>
    <w:rsid w:val="00003812"/>
    <w:rsid w:val="00004AD3"/>
    <w:rsid w:val="0000574F"/>
    <w:rsid w:val="0000709D"/>
    <w:rsid w:val="00011B55"/>
    <w:rsid w:val="000120D8"/>
    <w:rsid w:val="000127EC"/>
    <w:rsid w:val="00012DAF"/>
    <w:rsid w:val="0001314C"/>
    <w:rsid w:val="00015DA6"/>
    <w:rsid w:val="000167CC"/>
    <w:rsid w:val="00017631"/>
    <w:rsid w:val="00017D16"/>
    <w:rsid w:val="00017F8D"/>
    <w:rsid w:val="00023247"/>
    <w:rsid w:val="0002564E"/>
    <w:rsid w:val="00030ABE"/>
    <w:rsid w:val="0003235D"/>
    <w:rsid w:val="00033B44"/>
    <w:rsid w:val="000376AE"/>
    <w:rsid w:val="000413FC"/>
    <w:rsid w:val="00042D2D"/>
    <w:rsid w:val="00043C85"/>
    <w:rsid w:val="00044D7E"/>
    <w:rsid w:val="00045008"/>
    <w:rsid w:val="0004530F"/>
    <w:rsid w:val="000463B8"/>
    <w:rsid w:val="00050B4C"/>
    <w:rsid w:val="0005164C"/>
    <w:rsid w:val="00052084"/>
    <w:rsid w:val="000528D0"/>
    <w:rsid w:val="00056DC7"/>
    <w:rsid w:val="000572CF"/>
    <w:rsid w:val="00057778"/>
    <w:rsid w:val="00063BD8"/>
    <w:rsid w:val="00064904"/>
    <w:rsid w:val="00065221"/>
    <w:rsid w:val="00065F47"/>
    <w:rsid w:val="000669FE"/>
    <w:rsid w:val="00067743"/>
    <w:rsid w:val="0007439B"/>
    <w:rsid w:val="00074FF4"/>
    <w:rsid w:val="0007579B"/>
    <w:rsid w:val="00083FA1"/>
    <w:rsid w:val="0008514B"/>
    <w:rsid w:val="000874C9"/>
    <w:rsid w:val="00087632"/>
    <w:rsid w:val="00090586"/>
    <w:rsid w:val="0009180A"/>
    <w:rsid w:val="000941D1"/>
    <w:rsid w:val="00094577"/>
    <w:rsid w:val="00094C5B"/>
    <w:rsid w:val="00094D99"/>
    <w:rsid w:val="00095A92"/>
    <w:rsid w:val="00096869"/>
    <w:rsid w:val="000A0348"/>
    <w:rsid w:val="000A3FE2"/>
    <w:rsid w:val="000A78AE"/>
    <w:rsid w:val="000A78C1"/>
    <w:rsid w:val="000B1298"/>
    <w:rsid w:val="000B30B8"/>
    <w:rsid w:val="000B3DF5"/>
    <w:rsid w:val="000B5C23"/>
    <w:rsid w:val="000B66AE"/>
    <w:rsid w:val="000B69FA"/>
    <w:rsid w:val="000B7C0A"/>
    <w:rsid w:val="000C3464"/>
    <w:rsid w:val="000C4773"/>
    <w:rsid w:val="000C512A"/>
    <w:rsid w:val="000C6F96"/>
    <w:rsid w:val="000C7466"/>
    <w:rsid w:val="000C7C01"/>
    <w:rsid w:val="000D0A17"/>
    <w:rsid w:val="000D0EC2"/>
    <w:rsid w:val="000D153F"/>
    <w:rsid w:val="000D52D9"/>
    <w:rsid w:val="000D542F"/>
    <w:rsid w:val="000D6BA2"/>
    <w:rsid w:val="000E006E"/>
    <w:rsid w:val="000E0D4A"/>
    <w:rsid w:val="000E2F5A"/>
    <w:rsid w:val="000E35D2"/>
    <w:rsid w:val="000E3FB7"/>
    <w:rsid w:val="000E4608"/>
    <w:rsid w:val="000E509E"/>
    <w:rsid w:val="000E5B0E"/>
    <w:rsid w:val="000E67BB"/>
    <w:rsid w:val="000E6A86"/>
    <w:rsid w:val="000E6D77"/>
    <w:rsid w:val="000E6E2E"/>
    <w:rsid w:val="000F42A6"/>
    <w:rsid w:val="000F5009"/>
    <w:rsid w:val="000F6929"/>
    <w:rsid w:val="000F6FDA"/>
    <w:rsid w:val="00100A88"/>
    <w:rsid w:val="00100AE9"/>
    <w:rsid w:val="001022A2"/>
    <w:rsid w:val="00102B77"/>
    <w:rsid w:val="00102C81"/>
    <w:rsid w:val="0010334F"/>
    <w:rsid w:val="00106CC7"/>
    <w:rsid w:val="00107B01"/>
    <w:rsid w:val="001125FF"/>
    <w:rsid w:val="00113DBA"/>
    <w:rsid w:val="0011471B"/>
    <w:rsid w:val="00114B9C"/>
    <w:rsid w:val="00115A99"/>
    <w:rsid w:val="00116BC6"/>
    <w:rsid w:val="00116D04"/>
    <w:rsid w:val="00116E31"/>
    <w:rsid w:val="00122329"/>
    <w:rsid w:val="001223E0"/>
    <w:rsid w:val="00124285"/>
    <w:rsid w:val="00125EB6"/>
    <w:rsid w:val="00125FF2"/>
    <w:rsid w:val="0012753C"/>
    <w:rsid w:val="00132828"/>
    <w:rsid w:val="00134560"/>
    <w:rsid w:val="001362F0"/>
    <w:rsid w:val="0013701C"/>
    <w:rsid w:val="00137FF9"/>
    <w:rsid w:val="00141AA5"/>
    <w:rsid w:val="0014514B"/>
    <w:rsid w:val="001478D0"/>
    <w:rsid w:val="00150071"/>
    <w:rsid w:val="0015078A"/>
    <w:rsid w:val="00155F2C"/>
    <w:rsid w:val="00157093"/>
    <w:rsid w:val="00157DCB"/>
    <w:rsid w:val="001600A7"/>
    <w:rsid w:val="00160A76"/>
    <w:rsid w:val="001624FE"/>
    <w:rsid w:val="001657E8"/>
    <w:rsid w:val="00165C17"/>
    <w:rsid w:val="001661D5"/>
    <w:rsid w:val="00167F69"/>
    <w:rsid w:val="001702C6"/>
    <w:rsid w:val="00170C86"/>
    <w:rsid w:val="001712BF"/>
    <w:rsid w:val="00171C2C"/>
    <w:rsid w:val="001722B7"/>
    <w:rsid w:val="00173009"/>
    <w:rsid w:val="00173CED"/>
    <w:rsid w:val="0017601F"/>
    <w:rsid w:val="00180790"/>
    <w:rsid w:val="00183A68"/>
    <w:rsid w:val="00187883"/>
    <w:rsid w:val="001910E4"/>
    <w:rsid w:val="00191E53"/>
    <w:rsid w:val="0019509E"/>
    <w:rsid w:val="001955C4"/>
    <w:rsid w:val="0019585C"/>
    <w:rsid w:val="00196A36"/>
    <w:rsid w:val="001A0D72"/>
    <w:rsid w:val="001A1F55"/>
    <w:rsid w:val="001A482F"/>
    <w:rsid w:val="001A5FE9"/>
    <w:rsid w:val="001B0228"/>
    <w:rsid w:val="001B0D73"/>
    <w:rsid w:val="001C0C88"/>
    <w:rsid w:val="001C1470"/>
    <w:rsid w:val="001C3F59"/>
    <w:rsid w:val="001C7C6B"/>
    <w:rsid w:val="001D17C6"/>
    <w:rsid w:val="001D3916"/>
    <w:rsid w:val="001D39DE"/>
    <w:rsid w:val="001D4E70"/>
    <w:rsid w:val="001D5AB9"/>
    <w:rsid w:val="001D5EF3"/>
    <w:rsid w:val="001E0AEC"/>
    <w:rsid w:val="001E0C93"/>
    <w:rsid w:val="001E1850"/>
    <w:rsid w:val="001E2B2F"/>
    <w:rsid w:val="001E56EE"/>
    <w:rsid w:val="001E69CF"/>
    <w:rsid w:val="001F0950"/>
    <w:rsid w:val="001F17E5"/>
    <w:rsid w:val="001F1D94"/>
    <w:rsid w:val="001F4584"/>
    <w:rsid w:val="001F461B"/>
    <w:rsid w:val="001F5E0B"/>
    <w:rsid w:val="001F7A0C"/>
    <w:rsid w:val="0020160B"/>
    <w:rsid w:val="00205B7A"/>
    <w:rsid w:val="00205BBD"/>
    <w:rsid w:val="0021013D"/>
    <w:rsid w:val="00211007"/>
    <w:rsid w:val="00211DE4"/>
    <w:rsid w:val="00212D59"/>
    <w:rsid w:val="002154F2"/>
    <w:rsid w:val="00220B6C"/>
    <w:rsid w:val="0022110D"/>
    <w:rsid w:val="0022174C"/>
    <w:rsid w:val="00222C82"/>
    <w:rsid w:val="002250F3"/>
    <w:rsid w:val="0022569E"/>
    <w:rsid w:val="0022614D"/>
    <w:rsid w:val="00226603"/>
    <w:rsid w:val="0022668C"/>
    <w:rsid w:val="00226C52"/>
    <w:rsid w:val="00230E0A"/>
    <w:rsid w:val="00231F2D"/>
    <w:rsid w:val="00232311"/>
    <w:rsid w:val="00232A48"/>
    <w:rsid w:val="00232A8F"/>
    <w:rsid w:val="00233D3F"/>
    <w:rsid w:val="002358E1"/>
    <w:rsid w:val="00235E5B"/>
    <w:rsid w:val="00237AC6"/>
    <w:rsid w:val="00240211"/>
    <w:rsid w:val="00242374"/>
    <w:rsid w:val="00243480"/>
    <w:rsid w:val="002441EB"/>
    <w:rsid w:val="002448E5"/>
    <w:rsid w:val="00245736"/>
    <w:rsid w:val="00245916"/>
    <w:rsid w:val="0024617C"/>
    <w:rsid w:val="002468BD"/>
    <w:rsid w:val="00247761"/>
    <w:rsid w:val="00250067"/>
    <w:rsid w:val="002501F5"/>
    <w:rsid w:val="00254017"/>
    <w:rsid w:val="00254FDF"/>
    <w:rsid w:val="00255177"/>
    <w:rsid w:val="00255356"/>
    <w:rsid w:val="00255A5F"/>
    <w:rsid w:val="00255CD4"/>
    <w:rsid w:val="0026045A"/>
    <w:rsid w:val="00260E6E"/>
    <w:rsid w:val="00264522"/>
    <w:rsid w:val="002651CC"/>
    <w:rsid w:val="002657C9"/>
    <w:rsid w:val="00266D67"/>
    <w:rsid w:val="002671E6"/>
    <w:rsid w:val="00267970"/>
    <w:rsid w:val="00270725"/>
    <w:rsid w:val="0027110C"/>
    <w:rsid w:val="00271ECC"/>
    <w:rsid w:val="00272658"/>
    <w:rsid w:val="00273583"/>
    <w:rsid w:val="00274280"/>
    <w:rsid w:val="00274662"/>
    <w:rsid w:val="00277BFA"/>
    <w:rsid w:val="00280B5F"/>
    <w:rsid w:val="00286094"/>
    <w:rsid w:val="00286CEE"/>
    <w:rsid w:val="002871EB"/>
    <w:rsid w:val="00287CFC"/>
    <w:rsid w:val="00292ACF"/>
    <w:rsid w:val="00292B7A"/>
    <w:rsid w:val="002960C1"/>
    <w:rsid w:val="00297EDA"/>
    <w:rsid w:val="002A3AF5"/>
    <w:rsid w:val="002A3FFB"/>
    <w:rsid w:val="002B13DA"/>
    <w:rsid w:val="002B1945"/>
    <w:rsid w:val="002B1A7F"/>
    <w:rsid w:val="002B32B7"/>
    <w:rsid w:val="002B33A3"/>
    <w:rsid w:val="002B38FE"/>
    <w:rsid w:val="002B4E02"/>
    <w:rsid w:val="002B532B"/>
    <w:rsid w:val="002B6566"/>
    <w:rsid w:val="002B65BD"/>
    <w:rsid w:val="002B6EA9"/>
    <w:rsid w:val="002B7710"/>
    <w:rsid w:val="002C117E"/>
    <w:rsid w:val="002C1B07"/>
    <w:rsid w:val="002C2CDA"/>
    <w:rsid w:val="002C2E90"/>
    <w:rsid w:val="002C2EF0"/>
    <w:rsid w:val="002C7D1F"/>
    <w:rsid w:val="002D0541"/>
    <w:rsid w:val="002D2F71"/>
    <w:rsid w:val="002D4B47"/>
    <w:rsid w:val="002D4D13"/>
    <w:rsid w:val="002D55AD"/>
    <w:rsid w:val="002D5AB9"/>
    <w:rsid w:val="002D6833"/>
    <w:rsid w:val="002E0DAF"/>
    <w:rsid w:val="002E2E44"/>
    <w:rsid w:val="002E557B"/>
    <w:rsid w:val="002E55EA"/>
    <w:rsid w:val="002E6D14"/>
    <w:rsid w:val="002E7666"/>
    <w:rsid w:val="002F1E1A"/>
    <w:rsid w:val="002F4B95"/>
    <w:rsid w:val="002F67F0"/>
    <w:rsid w:val="00300443"/>
    <w:rsid w:val="003012BB"/>
    <w:rsid w:val="003033BB"/>
    <w:rsid w:val="003034B5"/>
    <w:rsid w:val="0030461F"/>
    <w:rsid w:val="00304FFF"/>
    <w:rsid w:val="00307743"/>
    <w:rsid w:val="00311784"/>
    <w:rsid w:val="00312514"/>
    <w:rsid w:val="00313553"/>
    <w:rsid w:val="00313CBC"/>
    <w:rsid w:val="00313D6F"/>
    <w:rsid w:val="00314E6F"/>
    <w:rsid w:val="00315B86"/>
    <w:rsid w:val="0031728E"/>
    <w:rsid w:val="00320BEB"/>
    <w:rsid w:val="00320CAF"/>
    <w:rsid w:val="0032142B"/>
    <w:rsid w:val="00322320"/>
    <w:rsid w:val="003238A2"/>
    <w:rsid w:val="003245ED"/>
    <w:rsid w:val="00324C98"/>
    <w:rsid w:val="0032781B"/>
    <w:rsid w:val="00327E88"/>
    <w:rsid w:val="003302D6"/>
    <w:rsid w:val="003342A4"/>
    <w:rsid w:val="0033437B"/>
    <w:rsid w:val="00334428"/>
    <w:rsid w:val="00336EE9"/>
    <w:rsid w:val="00336F29"/>
    <w:rsid w:val="0034075A"/>
    <w:rsid w:val="003438EC"/>
    <w:rsid w:val="00345F23"/>
    <w:rsid w:val="00347AB7"/>
    <w:rsid w:val="00351778"/>
    <w:rsid w:val="00355B5D"/>
    <w:rsid w:val="003567B0"/>
    <w:rsid w:val="0035755C"/>
    <w:rsid w:val="00357E6C"/>
    <w:rsid w:val="003606ED"/>
    <w:rsid w:val="00360A0F"/>
    <w:rsid w:val="00360B90"/>
    <w:rsid w:val="003637F9"/>
    <w:rsid w:val="003655D4"/>
    <w:rsid w:val="00366EB6"/>
    <w:rsid w:val="003710DF"/>
    <w:rsid w:val="0037198E"/>
    <w:rsid w:val="00372454"/>
    <w:rsid w:val="00380F8C"/>
    <w:rsid w:val="0038329A"/>
    <w:rsid w:val="00390C3E"/>
    <w:rsid w:val="00391CA8"/>
    <w:rsid w:val="00392EAC"/>
    <w:rsid w:val="003949F4"/>
    <w:rsid w:val="003955B8"/>
    <w:rsid w:val="0039561A"/>
    <w:rsid w:val="0039773F"/>
    <w:rsid w:val="003A16C8"/>
    <w:rsid w:val="003A33E9"/>
    <w:rsid w:val="003A63A4"/>
    <w:rsid w:val="003A76FA"/>
    <w:rsid w:val="003A7D63"/>
    <w:rsid w:val="003B101A"/>
    <w:rsid w:val="003B14CD"/>
    <w:rsid w:val="003B15E3"/>
    <w:rsid w:val="003B1A5C"/>
    <w:rsid w:val="003B7C17"/>
    <w:rsid w:val="003C0674"/>
    <w:rsid w:val="003C0EC0"/>
    <w:rsid w:val="003C1785"/>
    <w:rsid w:val="003C24BF"/>
    <w:rsid w:val="003C4136"/>
    <w:rsid w:val="003C61D6"/>
    <w:rsid w:val="003C6296"/>
    <w:rsid w:val="003C726D"/>
    <w:rsid w:val="003D202C"/>
    <w:rsid w:val="003D451F"/>
    <w:rsid w:val="003D4983"/>
    <w:rsid w:val="003D49F4"/>
    <w:rsid w:val="003D7412"/>
    <w:rsid w:val="003E096D"/>
    <w:rsid w:val="003E49B4"/>
    <w:rsid w:val="003E6C48"/>
    <w:rsid w:val="003E788D"/>
    <w:rsid w:val="003F0009"/>
    <w:rsid w:val="003F42DF"/>
    <w:rsid w:val="003F4F04"/>
    <w:rsid w:val="003F533F"/>
    <w:rsid w:val="003F5F10"/>
    <w:rsid w:val="003F6DB6"/>
    <w:rsid w:val="004029D6"/>
    <w:rsid w:val="004054AA"/>
    <w:rsid w:val="00406983"/>
    <w:rsid w:val="004072BF"/>
    <w:rsid w:val="00411E61"/>
    <w:rsid w:val="00412F58"/>
    <w:rsid w:val="004170CC"/>
    <w:rsid w:val="0043029C"/>
    <w:rsid w:val="00431CFB"/>
    <w:rsid w:val="00435547"/>
    <w:rsid w:val="00436B9A"/>
    <w:rsid w:val="00437951"/>
    <w:rsid w:val="00440DD1"/>
    <w:rsid w:val="00441E66"/>
    <w:rsid w:val="0044495E"/>
    <w:rsid w:val="00447926"/>
    <w:rsid w:val="0045093F"/>
    <w:rsid w:val="00455B13"/>
    <w:rsid w:val="00456051"/>
    <w:rsid w:val="004577B2"/>
    <w:rsid w:val="00457B27"/>
    <w:rsid w:val="00457F58"/>
    <w:rsid w:val="0046361E"/>
    <w:rsid w:val="004639D6"/>
    <w:rsid w:val="0046528A"/>
    <w:rsid w:val="00467DC4"/>
    <w:rsid w:val="00470055"/>
    <w:rsid w:val="0047126F"/>
    <w:rsid w:val="0047276C"/>
    <w:rsid w:val="00472F97"/>
    <w:rsid w:val="00475044"/>
    <w:rsid w:val="00475248"/>
    <w:rsid w:val="00477280"/>
    <w:rsid w:val="00477EF5"/>
    <w:rsid w:val="0048123D"/>
    <w:rsid w:val="0048126C"/>
    <w:rsid w:val="00481B66"/>
    <w:rsid w:val="004827EE"/>
    <w:rsid w:val="00483205"/>
    <w:rsid w:val="00484305"/>
    <w:rsid w:val="0048430B"/>
    <w:rsid w:val="004857C1"/>
    <w:rsid w:val="00485DFF"/>
    <w:rsid w:val="00486D62"/>
    <w:rsid w:val="004940EC"/>
    <w:rsid w:val="00494A4D"/>
    <w:rsid w:val="00497CF8"/>
    <w:rsid w:val="004A1710"/>
    <w:rsid w:val="004A2F2C"/>
    <w:rsid w:val="004A3B1D"/>
    <w:rsid w:val="004A737B"/>
    <w:rsid w:val="004B148C"/>
    <w:rsid w:val="004B17F8"/>
    <w:rsid w:val="004B1B33"/>
    <w:rsid w:val="004B250F"/>
    <w:rsid w:val="004B26FF"/>
    <w:rsid w:val="004B29C7"/>
    <w:rsid w:val="004B3971"/>
    <w:rsid w:val="004B5E5B"/>
    <w:rsid w:val="004B7F57"/>
    <w:rsid w:val="004C384A"/>
    <w:rsid w:val="004C41E6"/>
    <w:rsid w:val="004D083A"/>
    <w:rsid w:val="004D1A0F"/>
    <w:rsid w:val="004D2E82"/>
    <w:rsid w:val="004D3B5B"/>
    <w:rsid w:val="004D4A25"/>
    <w:rsid w:val="004D5598"/>
    <w:rsid w:val="004D65C6"/>
    <w:rsid w:val="004D688E"/>
    <w:rsid w:val="004E2B1E"/>
    <w:rsid w:val="004E3999"/>
    <w:rsid w:val="004E6187"/>
    <w:rsid w:val="004E64A2"/>
    <w:rsid w:val="004E6D9B"/>
    <w:rsid w:val="004E742F"/>
    <w:rsid w:val="004E7B22"/>
    <w:rsid w:val="004F0499"/>
    <w:rsid w:val="004F13DE"/>
    <w:rsid w:val="004F3EA3"/>
    <w:rsid w:val="004F3FFA"/>
    <w:rsid w:val="004F481B"/>
    <w:rsid w:val="004F716F"/>
    <w:rsid w:val="00500BD9"/>
    <w:rsid w:val="00502B66"/>
    <w:rsid w:val="00506DA6"/>
    <w:rsid w:val="0050755E"/>
    <w:rsid w:val="0051168F"/>
    <w:rsid w:val="00513444"/>
    <w:rsid w:val="00516B5A"/>
    <w:rsid w:val="0052054C"/>
    <w:rsid w:val="00520C2F"/>
    <w:rsid w:val="005226C1"/>
    <w:rsid w:val="00522DBC"/>
    <w:rsid w:val="005233E8"/>
    <w:rsid w:val="0052373C"/>
    <w:rsid w:val="00525F73"/>
    <w:rsid w:val="00527251"/>
    <w:rsid w:val="0053231A"/>
    <w:rsid w:val="0053393B"/>
    <w:rsid w:val="00533EF6"/>
    <w:rsid w:val="0053447A"/>
    <w:rsid w:val="00535FC8"/>
    <w:rsid w:val="00536DDA"/>
    <w:rsid w:val="00537275"/>
    <w:rsid w:val="00544A3D"/>
    <w:rsid w:val="00544BAA"/>
    <w:rsid w:val="0054703E"/>
    <w:rsid w:val="00550CED"/>
    <w:rsid w:val="00553283"/>
    <w:rsid w:val="0055390B"/>
    <w:rsid w:val="00555503"/>
    <w:rsid w:val="00555C8B"/>
    <w:rsid w:val="005613E5"/>
    <w:rsid w:val="005620ED"/>
    <w:rsid w:val="00565F04"/>
    <w:rsid w:val="00567EAC"/>
    <w:rsid w:val="005726B5"/>
    <w:rsid w:val="005739DB"/>
    <w:rsid w:val="00577F2E"/>
    <w:rsid w:val="00580FB3"/>
    <w:rsid w:val="005812A1"/>
    <w:rsid w:val="005814B7"/>
    <w:rsid w:val="005837D7"/>
    <w:rsid w:val="00584171"/>
    <w:rsid w:val="00584797"/>
    <w:rsid w:val="005876B8"/>
    <w:rsid w:val="00593F78"/>
    <w:rsid w:val="00595307"/>
    <w:rsid w:val="00596609"/>
    <w:rsid w:val="00596A32"/>
    <w:rsid w:val="00596F30"/>
    <w:rsid w:val="005977D4"/>
    <w:rsid w:val="00597925"/>
    <w:rsid w:val="005A0537"/>
    <w:rsid w:val="005A3210"/>
    <w:rsid w:val="005A533D"/>
    <w:rsid w:val="005B11B9"/>
    <w:rsid w:val="005B1968"/>
    <w:rsid w:val="005B6426"/>
    <w:rsid w:val="005B6635"/>
    <w:rsid w:val="005B700E"/>
    <w:rsid w:val="005B7D16"/>
    <w:rsid w:val="005C193A"/>
    <w:rsid w:val="005C483B"/>
    <w:rsid w:val="005C6500"/>
    <w:rsid w:val="005C72DE"/>
    <w:rsid w:val="005D095D"/>
    <w:rsid w:val="005D3978"/>
    <w:rsid w:val="005D48AB"/>
    <w:rsid w:val="005D6249"/>
    <w:rsid w:val="005D6C4D"/>
    <w:rsid w:val="005D7A38"/>
    <w:rsid w:val="005D7D02"/>
    <w:rsid w:val="005E2ECF"/>
    <w:rsid w:val="005E2FD9"/>
    <w:rsid w:val="005E312F"/>
    <w:rsid w:val="005E6C01"/>
    <w:rsid w:val="005F069A"/>
    <w:rsid w:val="005F225B"/>
    <w:rsid w:val="005F30AC"/>
    <w:rsid w:val="005F4986"/>
    <w:rsid w:val="005F4B63"/>
    <w:rsid w:val="005F50DC"/>
    <w:rsid w:val="005F61C1"/>
    <w:rsid w:val="005F65B1"/>
    <w:rsid w:val="005F6F67"/>
    <w:rsid w:val="00600B14"/>
    <w:rsid w:val="00602024"/>
    <w:rsid w:val="00603CA0"/>
    <w:rsid w:val="006049A8"/>
    <w:rsid w:val="00604AE7"/>
    <w:rsid w:val="006050E7"/>
    <w:rsid w:val="00607167"/>
    <w:rsid w:val="006113F9"/>
    <w:rsid w:val="00611ED1"/>
    <w:rsid w:val="006138C7"/>
    <w:rsid w:val="00616108"/>
    <w:rsid w:val="00620016"/>
    <w:rsid w:val="00621BC6"/>
    <w:rsid w:val="00623672"/>
    <w:rsid w:val="00623CD6"/>
    <w:rsid w:val="006254D3"/>
    <w:rsid w:val="00625F95"/>
    <w:rsid w:val="0062772D"/>
    <w:rsid w:val="00627B55"/>
    <w:rsid w:val="00627B74"/>
    <w:rsid w:val="00630722"/>
    <w:rsid w:val="00632639"/>
    <w:rsid w:val="006330DF"/>
    <w:rsid w:val="00635338"/>
    <w:rsid w:val="00635B8A"/>
    <w:rsid w:val="0063683C"/>
    <w:rsid w:val="00636D40"/>
    <w:rsid w:val="00637048"/>
    <w:rsid w:val="006377DB"/>
    <w:rsid w:val="006441E2"/>
    <w:rsid w:val="00645A8D"/>
    <w:rsid w:val="00645F70"/>
    <w:rsid w:val="006469A0"/>
    <w:rsid w:val="00646E46"/>
    <w:rsid w:val="0064783C"/>
    <w:rsid w:val="0065067E"/>
    <w:rsid w:val="0065074A"/>
    <w:rsid w:val="00651021"/>
    <w:rsid w:val="006515BB"/>
    <w:rsid w:val="00651A4B"/>
    <w:rsid w:val="006533A5"/>
    <w:rsid w:val="006538D9"/>
    <w:rsid w:val="00653B72"/>
    <w:rsid w:val="00654971"/>
    <w:rsid w:val="00654C41"/>
    <w:rsid w:val="006560BF"/>
    <w:rsid w:val="00666BD6"/>
    <w:rsid w:val="006674CC"/>
    <w:rsid w:val="00667F73"/>
    <w:rsid w:val="00670880"/>
    <w:rsid w:val="00670E97"/>
    <w:rsid w:val="00671024"/>
    <w:rsid w:val="00671DD4"/>
    <w:rsid w:val="0067203F"/>
    <w:rsid w:val="0067276F"/>
    <w:rsid w:val="00674C92"/>
    <w:rsid w:val="00676DC6"/>
    <w:rsid w:val="006812BE"/>
    <w:rsid w:val="00681A48"/>
    <w:rsid w:val="00681C0C"/>
    <w:rsid w:val="006835F9"/>
    <w:rsid w:val="00683BAA"/>
    <w:rsid w:val="0069072C"/>
    <w:rsid w:val="00690E20"/>
    <w:rsid w:val="0069110C"/>
    <w:rsid w:val="00691927"/>
    <w:rsid w:val="00691BF2"/>
    <w:rsid w:val="006926C3"/>
    <w:rsid w:val="006933B2"/>
    <w:rsid w:val="00693425"/>
    <w:rsid w:val="0069358B"/>
    <w:rsid w:val="00693A31"/>
    <w:rsid w:val="00693C24"/>
    <w:rsid w:val="0069470F"/>
    <w:rsid w:val="006977EC"/>
    <w:rsid w:val="00697E8A"/>
    <w:rsid w:val="006A4061"/>
    <w:rsid w:val="006A4606"/>
    <w:rsid w:val="006A4EE9"/>
    <w:rsid w:val="006A5086"/>
    <w:rsid w:val="006A603A"/>
    <w:rsid w:val="006A6AB7"/>
    <w:rsid w:val="006B2618"/>
    <w:rsid w:val="006B5A25"/>
    <w:rsid w:val="006B622A"/>
    <w:rsid w:val="006B683A"/>
    <w:rsid w:val="006B7E6B"/>
    <w:rsid w:val="006C34F4"/>
    <w:rsid w:val="006C4E57"/>
    <w:rsid w:val="006C602E"/>
    <w:rsid w:val="006C6CB1"/>
    <w:rsid w:val="006C73BB"/>
    <w:rsid w:val="006C7F87"/>
    <w:rsid w:val="006D00D7"/>
    <w:rsid w:val="006D0FC2"/>
    <w:rsid w:val="006D1538"/>
    <w:rsid w:val="006D1E94"/>
    <w:rsid w:val="006D1F46"/>
    <w:rsid w:val="006D2FAE"/>
    <w:rsid w:val="006D31AE"/>
    <w:rsid w:val="006D4F39"/>
    <w:rsid w:val="006D57DA"/>
    <w:rsid w:val="006D658F"/>
    <w:rsid w:val="006D7341"/>
    <w:rsid w:val="006D7D9F"/>
    <w:rsid w:val="006E16D2"/>
    <w:rsid w:val="006E2601"/>
    <w:rsid w:val="006E2AE6"/>
    <w:rsid w:val="006E3688"/>
    <w:rsid w:val="006E660A"/>
    <w:rsid w:val="006E6A06"/>
    <w:rsid w:val="006E7695"/>
    <w:rsid w:val="006F0210"/>
    <w:rsid w:val="006F0390"/>
    <w:rsid w:val="006F360F"/>
    <w:rsid w:val="006F431E"/>
    <w:rsid w:val="006F5147"/>
    <w:rsid w:val="006F6B93"/>
    <w:rsid w:val="006F70C5"/>
    <w:rsid w:val="006F7C66"/>
    <w:rsid w:val="007004E3"/>
    <w:rsid w:val="00701FF1"/>
    <w:rsid w:val="00703D1D"/>
    <w:rsid w:val="00703F82"/>
    <w:rsid w:val="00706A5C"/>
    <w:rsid w:val="00706F52"/>
    <w:rsid w:val="0071080D"/>
    <w:rsid w:val="00711C7F"/>
    <w:rsid w:val="007145E8"/>
    <w:rsid w:val="00715EFA"/>
    <w:rsid w:val="00716279"/>
    <w:rsid w:val="00720003"/>
    <w:rsid w:val="00720506"/>
    <w:rsid w:val="007216FE"/>
    <w:rsid w:val="0072192E"/>
    <w:rsid w:val="00721BC4"/>
    <w:rsid w:val="007236C6"/>
    <w:rsid w:val="00725C2B"/>
    <w:rsid w:val="0073001D"/>
    <w:rsid w:val="00731C94"/>
    <w:rsid w:val="0073232A"/>
    <w:rsid w:val="00736997"/>
    <w:rsid w:val="00737F0F"/>
    <w:rsid w:val="00740AAA"/>
    <w:rsid w:val="00746763"/>
    <w:rsid w:val="00750DA7"/>
    <w:rsid w:val="00750E56"/>
    <w:rsid w:val="007523BB"/>
    <w:rsid w:val="007526F9"/>
    <w:rsid w:val="007547F9"/>
    <w:rsid w:val="007552DD"/>
    <w:rsid w:val="00756912"/>
    <w:rsid w:val="0075701A"/>
    <w:rsid w:val="00757290"/>
    <w:rsid w:val="00757C76"/>
    <w:rsid w:val="00760A22"/>
    <w:rsid w:val="00761761"/>
    <w:rsid w:val="00761A4B"/>
    <w:rsid w:val="007672DC"/>
    <w:rsid w:val="00770EBA"/>
    <w:rsid w:val="00772F3B"/>
    <w:rsid w:val="007744FD"/>
    <w:rsid w:val="007755AA"/>
    <w:rsid w:val="0078044F"/>
    <w:rsid w:val="00785275"/>
    <w:rsid w:val="00786919"/>
    <w:rsid w:val="007907A5"/>
    <w:rsid w:val="007973D0"/>
    <w:rsid w:val="007A056A"/>
    <w:rsid w:val="007A6C90"/>
    <w:rsid w:val="007A7723"/>
    <w:rsid w:val="007A7985"/>
    <w:rsid w:val="007B179D"/>
    <w:rsid w:val="007B3110"/>
    <w:rsid w:val="007B387B"/>
    <w:rsid w:val="007B4567"/>
    <w:rsid w:val="007B548F"/>
    <w:rsid w:val="007B57D4"/>
    <w:rsid w:val="007B5F18"/>
    <w:rsid w:val="007B771F"/>
    <w:rsid w:val="007C2ABD"/>
    <w:rsid w:val="007C2E17"/>
    <w:rsid w:val="007C71DC"/>
    <w:rsid w:val="007D0F13"/>
    <w:rsid w:val="007D4D0F"/>
    <w:rsid w:val="007D68D0"/>
    <w:rsid w:val="007D77EA"/>
    <w:rsid w:val="007E047C"/>
    <w:rsid w:val="007E299A"/>
    <w:rsid w:val="007E2D43"/>
    <w:rsid w:val="007E466F"/>
    <w:rsid w:val="007E53AE"/>
    <w:rsid w:val="007E547D"/>
    <w:rsid w:val="007E5E7D"/>
    <w:rsid w:val="007E6B7D"/>
    <w:rsid w:val="007E7DCA"/>
    <w:rsid w:val="007F21C3"/>
    <w:rsid w:val="007F5261"/>
    <w:rsid w:val="007F588D"/>
    <w:rsid w:val="007F6576"/>
    <w:rsid w:val="007F6608"/>
    <w:rsid w:val="008006F2"/>
    <w:rsid w:val="00801412"/>
    <w:rsid w:val="00805EDD"/>
    <w:rsid w:val="00806A47"/>
    <w:rsid w:val="00806EDF"/>
    <w:rsid w:val="00806FD9"/>
    <w:rsid w:val="00807837"/>
    <w:rsid w:val="00807BD9"/>
    <w:rsid w:val="00814183"/>
    <w:rsid w:val="008152A4"/>
    <w:rsid w:val="00816B27"/>
    <w:rsid w:val="00823FE4"/>
    <w:rsid w:val="008246C8"/>
    <w:rsid w:val="00825BEF"/>
    <w:rsid w:val="00827E37"/>
    <w:rsid w:val="0083514D"/>
    <w:rsid w:val="0083739F"/>
    <w:rsid w:val="008409A5"/>
    <w:rsid w:val="0084124A"/>
    <w:rsid w:val="008429B7"/>
    <w:rsid w:val="00843938"/>
    <w:rsid w:val="0084667B"/>
    <w:rsid w:val="0084682C"/>
    <w:rsid w:val="00850389"/>
    <w:rsid w:val="00850DB8"/>
    <w:rsid w:val="00850E1D"/>
    <w:rsid w:val="0085167D"/>
    <w:rsid w:val="00852ABB"/>
    <w:rsid w:val="00853F8C"/>
    <w:rsid w:val="0085543F"/>
    <w:rsid w:val="008568EE"/>
    <w:rsid w:val="00857141"/>
    <w:rsid w:val="008604C8"/>
    <w:rsid w:val="00860604"/>
    <w:rsid w:val="00861D34"/>
    <w:rsid w:val="00862800"/>
    <w:rsid w:val="00870067"/>
    <w:rsid w:val="00870FA0"/>
    <w:rsid w:val="0087144A"/>
    <w:rsid w:val="008726C0"/>
    <w:rsid w:val="00872943"/>
    <w:rsid w:val="00873A05"/>
    <w:rsid w:val="00875AE0"/>
    <w:rsid w:val="00875E7E"/>
    <w:rsid w:val="00881036"/>
    <w:rsid w:val="0088125B"/>
    <w:rsid w:val="008860AC"/>
    <w:rsid w:val="0088692D"/>
    <w:rsid w:val="00886B51"/>
    <w:rsid w:val="008917B3"/>
    <w:rsid w:val="00891AA1"/>
    <w:rsid w:val="00891B21"/>
    <w:rsid w:val="00892D28"/>
    <w:rsid w:val="00893633"/>
    <w:rsid w:val="00895367"/>
    <w:rsid w:val="008A00A4"/>
    <w:rsid w:val="008A0AF1"/>
    <w:rsid w:val="008A46D3"/>
    <w:rsid w:val="008A6629"/>
    <w:rsid w:val="008B1CD9"/>
    <w:rsid w:val="008B253A"/>
    <w:rsid w:val="008B2C24"/>
    <w:rsid w:val="008B422D"/>
    <w:rsid w:val="008B4303"/>
    <w:rsid w:val="008B5D9E"/>
    <w:rsid w:val="008B6720"/>
    <w:rsid w:val="008B681C"/>
    <w:rsid w:val="008B6B8F"/>
    <w:rsid w:val="008C0DEE"/>
    <w:rsid w:val="008C2C70"/>
    <w:rsid w:val="008C3575"/>
    <w:rsid w:val="008C3588"/>
    <w:rsid w:val="008D0360"/>
    <w:rsid w:val="008D09A8"/>
    <w:rsid w:val="008D0C91"/>
    <w:rsid w:val="008D118D"/>
    <w:rsid w:val="008D1511"/>
    <w:rsid w:val="008D1732"/>
    <w:rsid w:val="008D3353"/>
    <w:rsid w:val="008E07CA"/>
    <w:rsid w:val="008E43EF"/>
    <w:rsid w:val="008E4A6C"/>
    <w:rsid w:val="008E5FF7"/>
    <w:rsid w:val="008E616E"/>
    <w:rsid w:val="008E6B66"/>
    <w:rsid w:val="008E7F14"/>
    <w:rsid w:val="008F2174"/>
    <w:rsid w:val="008F2F2C"/>
    <w:rsid w:val="008F634F"/>
    <w:rsid w:val="008F702A"/>
    <w:rsid w:val="008F708E"/>
    <w:rsid w:val="008F7667"/>
    <w:rsid w:val="008F7DA6"/>
    <w:rsid w:val="0090204F"/>
    <w:rsid w:val="00902521"/>
    <w:rsid w:val="009028A6"/>
    <w:rsid w:val="00904936"/>
    <w:rsid w:val="0090638C"/>
    <w:rsid w:val="00907BF5"/>
    <w:rsid w:val="0091432D"/>
    <w:rsid w:val="00915538"/>
    <w:rsid w:val="00915DBA"/>
    <w:rsid w:val="00915FE5"/>
    <w:rsid w:val="0091727B"/>
    <w:rsid w:val="00924E8D"/>
    <w:rsid w:val="009254D8"/>
    <w:rsid w:val="009269B8"/>
    <w:rsid w:val="00927DFD"/>
    <w:rsid w:val="009301B6"/>
    <w:rsid w:val="00932B31"/>
    <w:rsid w:val="00934E04"/>
    <w:rsid w:val="009362E5"/>
    <w:rsid w:val="009401BF"/>
    <w:rsid w:val="00944A5C"/>
    <w:rsid w:val="00944E54"/>
    <w:rsid w:val="009464F4"/>
    <w:rsid w:val="0094793E"/>
    <w:rsid w:val="00947C0E"/>
    <w:rsid w:val="00950F84"/>
    <w:rsid w:val="00951B63"/>
    <w:rsid w:val="00953E1E"/>
    <w:rsid w:val="00954142"/>
    <w:rsid w:val="00954E2C"/>
    <w:rsid w:val="00956BD0"/>
    <w:rsid w:val="009606DD"/>
    <w:rsid w:val="00960BF0"/>
    <w:rsid w:val="0096186D"/>
    <w:rsid w:val="00961969"/>
    <w:rsid w:val="00964EE6"/>
    <w:rsid w:val="00965A19"/>
    <w:rsid w:val="00970269"/>
    <w:rsid w:val="00974BD2"/>
    <w:rsid w:val="0097597C"/>
    <w:rsid w:val="009771C3"/>
    <w:rsid w:val="00977E24"/>
    <w:rsid w:val="00982679"/>
    <w:rsid w:val="00985778"/>
    <w:rsid w:val="0098640C"/>
    <w:rsid w:val="0099356D"/>
    <w:rsid w:val="0099614A"/>
    <w:rsid w:val="00996196"/>
    <w:rsid w:val="00996CE0"/>
    <w:rsid w:val="009970A3"/>
    <w:rsid w:val="009A00F0"/>
    <w:rsid w:val="009A5243"/>
    <w:rsid w:val="009A53A7"/>
    <w:rsid w:val="009A589E"/>
    <w:rsid w:val="009B18AA"/>
    <w:rsid w:val="009B2FD9"/>
    <w:rsid w:val="009B3AD4"/>
    <w:rsid w:val="009B3FDC"/>
    <w:rsid w:val="009B639D"/>
    <w:rsid w:val="009C10E2"/>
    <w:rsid w:val="009C3C00"/>
    <w:rsid w:val="009D01CB"/>
    <w:rsid w:val="009D17CF"/>
    <w:rsid w:val="009D24C2"/>
    <w:rsid w:val="009D2ADE"/>
    <w:rsid w:val="009D33CA"/>
    <w:rsid w:val="009D374A"/>
    <w:rsid w:val="009D3DEA"/>
    <w:rsid w:val="009E3339"/>
    <w:rsid w:val="009E3865"/>
    <w:rsid w:val="009E4E4E"/>
    <w:rsid w:val="009E58FD"/>
    <w:rsid w:val="009E6C6D"/>
    <w:rsid w:val="009E76EB"/>
    <w:rsid w:val="009F0364"/>
    <w:rsid w:val="009F0476"/>
    <w:rsid w:val="009F199B"/>
    <w:rsid w:val="009F1E07"/>
    <w:rsid w:val="009F4420"/>
    <w:rsid w:val="00A0035B"/>
    <w:rsid w:val="00A0146B"/>
    <w:rsid w:val="00A07F74"/>
    <w:rsid w:val="00A11BFB"/>
    <w:rsid w:val="00A121DD"/>
    <w:rsid w:val="00A1275D"/>
    <w:rsid w:val="00A13244"/>
    <w:rsid w:val="00A15325"/>
    <w:rsid w:val="00A158AA"/>
    <w:rsid w:val="00A2067A"/>
    <w:rsid w:val="00A22CBB"/>
    <w:rsid w:val="00A2370F"/>
    <w:rsid w:val="00A24425"/>
    <w:rsid w:val="00A2644B"/>
    <w:rsid w:val="00A2686A"/>
    <w:rsid w:val="00A26A6C"/>
    <w:rsid w:val="00A31F51"/>
    <w:rsid w:val="00A35244"/>
    <w:rsid w:val="00A3580A"/>
    <w:rsid w:val="00A3582A"/>
    <w:rsid w:val="00A36D66"/>
    <w:rsid w:val="00A3701F"/>
    <w:rsid w:val="00A37F9B"/>
    <w:rsid w:val="00A40D53"/>
    <w:rsid w:val="00A41F50"/>
    <w:rsid w:val="00A46F32"/>
    <w:rsid w:val="00A51B50"/>
    <w:rsid w:val="00A52BF9"/>
    <w:rsid w:val="00A5376C"/>
    <w:rsid w:val="00A55646"/>
    <w:rsid w:val="00A566DA"/>
    <w:rsid w:val="00A6474F"/>
    <w:rsid w:val="00A65F26"/>
    <w:rsid w:val="00A671EC"/>
    <w:rsid w:val="00A67738"/>
    <w:rsid w:val="00A719FC"/>
    <w:rsid w:val="00A7242A"/>
    <w:rsid w:val="00A7687E"/>
    <w:rsid w:val="00A80010"/>
    <w:rsid w:val="00A81055"/>
    <w:rsid w:val="00A812EB"/>
    <w:rsid w:val="00A812FD"/>
    <w:rsid w:val="00A8137D"/>
    <w:rsid w:val="00A8275B"/>
    <w:rsid w:val="00A87621"/>
    <w:rsid w:val="00A91599"/>
    <w:rsid w:val="00A91A2E"/>
    <w:rsid w:val="00A91B9A"/>
    <w:rsid w:val="00A93397"/>
    <w:rsid w:val="00A93EEF"/>
    <w:rsid w:val="00A9495D"/>
    <w:rsid w:val="00A96E1F"/>
    <w:rsid w:val="00AA0023"/>
    <w:rsid w:val="00AA0B37"/>
    <w:rsid w:val="00AA1221"/>
    <w:rsid w:val="00AA33A1"/>
    <w:rsid w:val="00AA48CA"/>
    <w:rsid w:val="00AA5A7D"/>
    <w:rsid w:val="00AA6200"/>
    <w:rsid w:val="00AB0E38"/>
    <w:rsid w:val="00AB3867"/>
    <w:rsid w:val="00AB4559"/>
    <w:rsid w:val="00AB6BFC"/>
    <w:rsid w:val="00AC2465"/>
    <w:rsid w:val="00AC7BC3"/>
    <w:rsid w:val="00AD3BCA"/>
    <w:rsid w:val="00AD448D"/>
    <w:rsid w:val="00AE26C0"/>
    <w:rsid w:val="00AE2F2B"/>
    <w:rsid w:val="00AE5592"/>
    <w:rsid w:val="00AE598A"/>
    <w:rsid w:val="00AE5B7C"/>
    <w:rsid w:val="00AE7E06"/>
    <w:rsid w:val="00AE7F34"/>
    <w:rsid w:val="00AF02D8"/>
    <w:rsid w:val="00AF175B"/>
    <w:rsid w:val="00B00D65"/>
    <w:rsid w:val="00B016D1"/>
    <w:rsid w:val="00B028A1"/>
    <w:rsid w:val="00B044D1"/>
    <w:rsid w:val="00B05E33"/>
    <w:rsid w:val="00B11613"/>
    <w:rsid w:val="00B11E93"/>
    <w:rsid w:val="00B13C5A"/>
    <w:rsid w:val="00B13DA2"/>
    <w:rsid w:val="00B169A4"/>
    <w:rsid w:val="00B16E32"/>
    <w:rsid w:val="00B20E5A"/>
    <w:rsid w:val="00B2300D"/>
    <w:rsid w:val="00B251D5"/>
    <w:rsid w:val="00B26872"/>
    <w:rsid w:val="00B30B00"/>
    <w:rsid w:val="00B34570"/>
    <w:rsid w:val="00B3511F"/>
    <w:rsid w:val="00B3536B"/>
    <w:rsid w:val="00B3664A"/>
    <w:rsid w:val="00B40C73"/>
    <w:rsid w:val="00B40F54"/>
    <w:rsid w:val="00B43CCE"/>
    <w:rsid w:val="00B45A58"/>
    <w:rsid w:val="00B479FD"/>
    <w:rsid w:val="00B504CF"/>
    <w:rsid w:val="00B525F8"/>
    <w:rsid w:val="00B56195"/>
    <w:rsid w:val="00B61490"/>
    <w:rsid w:val="00B63890"/>
    <w:rsid w:val="00B64EFF"/>
    <w:rsid w:val="00B66249"/>
    <w:rsid w:val="00B66CEC"/>
    <w:rsid w:val="00B70263"/>
    <w:rsid w:val="00B70897"/>
    <w:rsid w:val="00B71EBF"/>
    <w:rsid w:val="00B72B82"/>
    <w:rsid w:val="00B73244"/>
    <w:rsid w:val="00B74079"/>
    <w:rsid w:val="00B77AC6"/>
    <w:rsid w:val="00B77C1A"/>
    <w:rsid w:val="00B86BB0"/>
    <w:rsid w:val="00B87D45"/>
    <w:rsid w:val="00B90390"/>
    <w:rsid w:val="00B91542"/>
    <w:rsid w:val="00BA1CC9"/>
    <w:rsid w:val="00BA1E94"/>
    <w:rsid w:val="00BA57CB"/>
    <w:rsid w:val="00BA5839"/>
    <w:rsid w:val="00BA5F18"/>
    <w:rsid w:val="00BA714B"/>
    <w:rsid w:val="00BB00B5"/>
    <w:rsid w:val="00BB1E22"/>
    <w:rsid w:val="00BB25BE"/>
    <w:rsid w:val="00BB46AB"/>
    <w:rsid w:val="00BB6361"/>
    <w:rsid w:val="00BB784F"/>
    <w:rsid w:val="00BB789E"/>
    <w:rsid w:val="00BB7DF9"/>
    <w:rsid w:val="00BC4C70"/>
    <w:rsid w:val="00BD0D64"/>
    <w:rsid w:val="00BD131E"/>
    <w:rsid w:val="00BD1763"/>
    <w:rsid w:val="00BD353A"/>
    <w:rsid w:val="00BD4B6A"/>
    <w:rsid w:val="00BD7F52"/>
    <w:rsid w:val="00BE04E7"/>
    <w:rsid w:val="00BE0E1F"/>
    <w:rsid w:val="00BE32C0"/>
    <w:rsid w:val="00BE3B45"/>
    <w:rsid w:val="00BF0A23"/>
    <w:rsid w:val="00BF3BFB"/>
    <w:rsid w:val="00BF3E1C"/>
    <w:rsid w:val="00BF4FE0"/>
    <w:rsid w:val="00C00145"/>
    <w:rsid w:val="00C00347"/>
    <w:rsid w:val="00C0131A"/>
    <w:rsid w:val="00C02A50"/>
    <w:rsid w:val="00C02F38"/>
    <w:rsid w:val="00C036C1"/>
    <w:rsid w:val="00C07088"/>
    <w:rsid w:val="00C10897"/>
    <w:rsid w:val="00C17521"/>
    <w:rsid w:val="00C206E1"/>
    <w:rsid w:val="00C209B5"/>
    <w:rsid w:val="00C232A4"/>
    <w:rsid w:val="00C2375C"/>
    <w:rsid w:val="00C24181"/>
    <w:rsid w:val="00C249F5"/>
    <w:rsid w:val="00C250B9"/>
    <w:rsid w:val="00C26094"/>
    <w:rsid w:val="00C261E4"/>
    <w:rsid w:val="00C26D3E"/>
    <w:rsid w:val="00C3042C"/>
    <w:rsid w:val="00C30599"/>
    <w:rsid w:val="00C31E66"/>
    <w:rsid w:val="00C32831"/>
    <w:rsid w:val="00C337E5"/>
    <w:rsid w:val="00C362D6"/>
    <w:rsid w:val="00C400F2"/>
    <w:rsid w:val="00C402F1"/>
    <w:rsid w:val="00C41FB7"/>
    <w:rsid w:val="00C42057"/>
    <w:rsid w:val="00C4234C"/>
    <w:rsid w:val="00C43871"/>
    <w:rsid w:val="00C44180"/>
    <w:rsid w:val="00C45600"/>
    <w:rsid w:val="00C47EC4"/>
    <w:rsid w:val="00C5109B"/>
    <w:rsid w:val="00C52ACE"/>
    <w:rsid w:val="00C54195"/>
    <w:rsid w:val="00C5559B"/>
    <w:rsid w:val="00C55AE2"/>
    <w:rsid w:val="00C56210"/>
    <w:rsid w:val="00C572F5"/>
    <w:rsid w:val="00C61BEA"/>
    <w:rsid w:val="00C62B0E"/>
    <w:rsid w:val="00C63B31"/>
    <w:rsid w:val="00C652CB"/>
    <w:rsid w:val="00C654DC"/>
    <w:rsid w:val="00C65630"/>
    <w:rsid w:val="00C65990"/>
    <w:rsid w:val="00C709BE"/>
    <w:rsid w:val="00C70A12"/>
    <w:rsid w:val="00C7142F"/>
    <w:rsid w:val="00C71FFE"/>
    <w:rsid w:val="00C732E1"/>
    <w:rsid w:val="00C73304"/>
    <w:rsid w:val="00C753B6"/>
    <w:rsid w:val="00C8084B"/>
    <w:rsid w:val="00C83900"/>
    <w:rsid w:val="00C83AED"/>
    <w:rsid w:val="00C85C26"/>
    <w:rsid w:val="00C8610F"/>
    <w:rsid w:val="00C868F5"/>
    <w:rsid w:val="00C90EEB"/>
    <w:rsid w:val="00C913CE"/>
    <w:rsid w:val="00C92554"/>
    <w:rsid w:val="00C92C54"/>
    <w:rsid w:val="00C93B1D"/>
    <w:rsid w:val="00C9437B"/>
    <w:rsid w:val="00C95E05"/>
    <w:rsid w:val="00CA1915"/>
    <w:rsid w:val="00CA3758"/>
    <w:rsid w:val="00CA3F10"/>
    <w:rsid w:val="00CA51DF"/>
    <w:rsid w:val="00CA704B"/>
    <w:rsid w:val="00CA709B"/>
    <w:rsid w:val="00CB00D8"/>
    <w:rsid w:val="00CB03BA"/>
    <w:rsid w:val="00CB1A6B"/>
    <w:rsid w:val="00CB55DF"/>
    <w:rsid w:val="00CC33CD"/>
    <w:rsid w:val="00CC34FD"/>
    <w:rsid w:val="00CC3773"/>
    <w:rsid w:val="00CC3B6C"/>
    <w:rsid w:val="00CC6210"/>
    <w:rsid w:val="00CD0719"/>
    <w:rsid w:val="00CD098E"/>
    <w:rsid w:val="00CD1E8E"/>
    <w:rsid w:val="00CD2330"/>
    <w:rsid w:val="00CD2B5F"/>
    <w:rsid w:val="00CD46FA"/>
    <w:rsid w:val="00CD5235"/>
    <w:rsid w:val="00CD58F5"/>
    <w:rsid w:val="00CE0A29"/>
    <w:rsid w:val="00CE12F3"/>
    <w:rsid w:val="00CE3ACF"/>
    <w:rsid w:val="00CE6E32"/>
    <w:rsid w:val="00CF12AA"/>
    <w:rsid w:val="00CF30AC"/>
    <w:rsid w:val="00CF419E"/>
    <w:rsid w:val="00D06DC8"/>
    <w:rsid w:val="00D07BDD"/>
    <w:rsid w:val="00D1092E"/>
    <w:rsid w:val="00D112F2"/>
    <w:rsid w:val="00D1154A"/>
    <w:rsid w:val="00D121B2"/>
    <w:rsid w:val="00D1469E"/>
    <w:rsid w:val="00D22440"/>
    <w:rsid w:val="00D24036"/>
    <w:rsid w:val="00D2528C"/>
    <w:rsid w:val="00D252A5"/>
    <w:rsid w:val="00D26960"/>
    <w:rsid w:val="00D271B4"/>
    <w:rsid w:val="00D27446"/>
    <w:rsid w:val="00D2765C"/>
    <w:rsid w:val="00D3061C"/>
    <w:rsid w:val="00D31F76"/>
    <w:rsid w:val="00D33459"/>
    <w:rsid w:val="00D366E2"/>
    <w:rsid w:val="00D403B7"/>
    <w:rsid w:val="00D4165A"/>
    <w:rsid w:val="00D43478"/>
    <w:rsid w:val="00D45763"/>
    <w:rsid w:val="00D4696E"/>
    <w:rsid w:val="00D4706B"/>
    <w:rsid w:val="00D47297"/>
    <w:rsid w:val="00D5232E"/>
    <w:rsid w:val="00D53883"/>
    <w:rsid w:val="00D577B3"/>
    <w:rsid w:val="00D6162E"/>
    <w:rsid w:val="00D62161"/>
    <w:rsid w:val="00D62219"/>
    <w:rsid w:val="00D65410"/>
    <w:rsid w:val="00D70411"/>
    <w:rsid w:val="00D70657"/>
    <w:rsid w:val="00D70685"/>
    <w:rsid w:val="00D70944"/>
    <w:rsid w:val="00D71E24"/>
    <w:rsid w:val="00D72485"/>
    <w:rsid w:val="00D72D5E"/>
    <w:rsid w:val="00D73BB3"/>
    <w:rsid w:val="00D74CDA"/>
    <w:rsid w:val="00D76754"/>
    <w:rsid w:val="00D76BEA"/>
    <w:rsid w:val="00D77841"/>
    <w:rsid w:val="00D8063F"/>
    <w:rsid w:val="00D80B66"/>
    <w:rsid w:val="00D81EE5"/>
    <w:rsid w:val="00D81FE0"/>
    <w:rsid w:val="00D846D0"/>
    <w:rsid w:val="00D84A69"/>
    <w:rsid w:val="00D863EA"/>
    <w:rsid w:val="00D86B04"/>
    <w:rsid w:val="00D87A43"/>
    <w:rsid w:val="00D90B6B"/>
    <w:rsid w:val="00D914DF"/>
    <w:rsid w:val="00D91592"/>
    <w:rsid w:val="00D94BE9"/>
    <w:rsid w:val="00D96A88"/>
    <w:rsid w:val="00D96D2A"/>
    <w:rsid w:val="00DA286D"/>
    <w:rsid w:val="00DA46CC"/>
    <w:rsid w:val="00DA5A1A"/>
    <w:rsid w:val="00DB15E5"/>
    <w:rsid w:val="00DB15F9"/>
    <w:rsid w:val="00DB4396"/>
    <w:rsid w:val="00DB5728"/>
    <w:rsid w:val="00DB6311"/>
    <w:rsid w:val="00DC16B0"/>
    <w:rsid w:val="00DC26C3"/>
    <w:rsid w:val="00DC380A"/>
    <w:rsid w:val="00DC4413"/>
    <w:rsid w:val="00DC53C0"/>
    <w:rsid w:val="00DD0FCF"/>
    <w:rsid w:val="00DD244A"/>
    <w:rsid w:val="00DD256C"/>
    <w:rsid w:val="00DD2C96"/>
    <w:rsid w:val="00DD3758"/>
    <w:rsid w:val="00DD4F6D"/>
    <w:rsid w:val="00DD621B"/>
    <w:rsid w:val="00DD6D7D"/>
    <w:rsid w:val="00DD6E4F"/>
    <w:rsid w:val="00DD77C7"/>
    <w:rsid w:val="00DE0E95"/>
    <w:rsid w:val="00DE123E"/>
    <w:rsid w:val="00DE33D5"/>
    <w:rsid w:val="00DE445F"/>
    <w:rsid w:val="00DE7846"/>
    <w:rsid w:val="00DF11A8"/>
    <w:rsid w:val="00DF28ED"/>
    <w:rsid w:val="00DF32E6"/>
    <w:rsid w:val="00DF48F4"/>
    <w:rsid w:val="00DF787E"/>
    <w:rsid w:val="00DF7934"/>
    <w:rsid w:val="00E00144"/>
    <w:rsid w:val="00E00530"/>
    <w:rsid w:val="00E04453"/>
    <w:rsid w:val="00E04552"/>
    <w:rsid w:val="00E0642F"/>
    <w:rsid w:val="00E12E1C"/>
    <w:rsid w:val="00E1371D"/>
    <w:rsid w:val="00E13BA4"/>
    <w:rsid w:val="00E14B32"/>
    <w:rsid w:val="00E14C0A"/>
    <w:rsid w:val="00E17EAC"/>
    <w:rsid w:val="00E218E1"/>
    <w:rsid w:val="00E22389"/>
    <w:rsid w:val="00E22BEE"/>
    <w:rsid w:val="00E25BBC"/>
    <w:rsid w:val="00E27B38"/>
    <w:rsid w:val="00E30161"/>
    <w:rsid w:val="00E30E17"/>
    <w:rsid w:val="00E31E67"/>
    <w:rsid w:val="00E32AD6"/>
    <w:rsid w:val="00E33D3B"/>
    <w:rsid w:val="00E343E6"/>
    <w:rsid w:val="00E410A7"/>
    <w:rsid w:val="00E4224B"/>
    <w:rsid w:val="00E4668E"/>
    <w:rsid w:val="00E502B3"/>
    <w:rsid w:val="00E53250"/>
    <w:rsid w:val="00E54BB8"/>
    <w:rsid w:val="00E55676"/>
    <w:rsid w:val="00E55DB0"/>
    <w:rsid w:val="00E60BB5"/>
    <w:rsid w:val="00E61657"/>
    <w:rsid w:val="00E6165F"/>
    <w:rsid w:val="00E61F16"/>
    <w:rsid w:val="00E6279C"/>
    <w:rsid w:val="00E63B1E"/>
    <w:rsid w:val="00E64460"/>
    <w:rsid w:val="00E64C92"/>
    <w:rsid w:val="00E65140"/>
    <w:rsid w:val="00E65719"/>
    <w:rsid w:val="00E70D43"/>
    <w:rsid w:val="00E728B0"/>
    <w:rsid w:val="00E73035"/>
    <w:rsid w:val="00E7471B"/>
    <w:rsid w:val="00E74A29"/>
    <w:rsid w:val="00E752B6"/>
    <w:rsid w:val="00E769AA"/>
    <w:rsid w:val="00E7796F"/>
    <w:rsid w:val="00E77EEF"/>
    <w:rsid w:val="00E8026E"/>
    <w:rsid w:val="00E82742"/>
    <w:rsid w:val="00E84111"/>
    <w:rsid w:val="00E86C75"/>
    <w:rsid w:val="00E90D30"/>
    <w:rsid w:val="00E915FD"/>
    <w:rsid w:val="00E91608"/>
    <w:rsid w:val="00E9344B"/>
    <w:rsid w:val="00E9387D"/>
    <w:rsid w:val="00E9756D"/>
    <w:rsid w:val="00EA06B1"/>
    <w:rsid w:val="00EA5B9B"/>
    <w:rsid w:val="00EA67A1"/>
    <w:rsid w:val="00EA6D21"/>
    <w:rsid w:val="00EB034A"/>
    <w:rsid w:val="00EB04EF"/>
    <w:rsid w:val="00EB12A3"/>
    <w:rsid w:val="00EB1365"/>
    <w:rsid w:val="00EB15AA"/>
    <w:rsid w:val="00EB4F6A"/>
    <w:rsid w:val="00EB6438"/>
    <w:rsid w:val="00EC27ED"/>
    <w:rsid w:val="00EC4562"/>
    <w:rsid w:val="00EC5A2D"/>
    <w:rsid w:val="00EC6D77"/>
    <w:rsid w:val="00EC70A9"/>
    <w:rsid w:val="00EC749A"/>
    <w:rsid w:val="00EC79A2"/>
    <w:rsid w:val="00ED0A77"/>
    <w:rsid w:val="00ED1FCA"/>
    <w:rsid w:val="00ED20EA"/>
    <w:rsid w:val="00ED2D0A"/>
    <w:rsid w:val="00ED2D33"/>
    <w:rsid w:val="00ED2DA4"/>
    <w:rsid w:val="00ED5807"/>
    <w:rsid w:val="00ED5FC3"/>
    <w:rsid w:val="00ED75E9"/>
    <w:rsid w:val="00ED7803"/>
    <w:rsid w:val="00EE07EE"/>
    <w:rsid w:val="00EE187F"/>
    <w:rsid w:val="00EE1930"/>
    <w:rsid w:val="00EE1BDA"/>
    <w:rsid w:val="00EE1DC3"/>
    <w:rsid w:val="00EE45CD"/>
    <w:rsid w:val="00EE5116"/>
    <w:rsid w:val="00EE5954"/>
    <w:rsid w:val="00EE5B41"/>
    <w:rsid w:val="00EE6141"/>
    <w:rsid w:val="00EE615C"/>
    <w:rsid w:val="00EE6D3E"/>
    <w:rsid w:val="00EE6DD5"/>
    <w:rsid w:val="00EE7623"/>
    <w:rsid w:val="00EE7C04"/>
    <w:rsid w:val="00EF0797"/>
    <w:rsid w:val="00EF2895"/>
    <w:rsid w:val="00EF516E"/>
    <w:rsid w:val="00EF52FF"/>
    <w:rsid w:val="00EF659B"/>
    <w:rsid w:val="00F01504"/>
    <w:rsid w:val="00F01785"/>
    <w:rsid w:val="00F0299F"/>
    <w:rsid w:val="00F032EF"/>
    <w:rsid w:val="00F03F7D"/>
    <w:rsid w:val="00F03F94"/>
    <w:rsid w:val="00F040DC"/>
    <w:rsid w:val="00F07177"/>
    <w:rsid w:val="00F10929"/>
    <w:rsid w:val="00F11CBC"/>
    <w:rsid w:val="00F15D74"/>
    <w:rsid w:val="00F1640A"/>
    <w:rsid w:val="00F17EC5"/>
    <w:rsid w:val="00F2298E"/>
    <w:rsid w:val="00F23734"/>
    <w:rsid w:val="00F24BAA"/>
    <w:rsid w:val="00F26BF8"/>
    <w:rsid w:val="00F30626"/>
    <w:rsid w:val="00F32873"/>
    <w:rsid w:val="00F32989"/>
    <w:rsid w:val="00F32EF1"/>
    <w:rsid w:val="00F34829"/>
    <w:rsid w:val="00F3771E"/>
    <w:rsid w:val="00F37938"/>
    <w:rsid w:val="00F402EC"/>
    <w:rsid w:val="00F40565"/>
    <w:rsid w:val="00F41B38"/>
    <w:rsid w:val="00F41C0E"/>
    <w:rsid w:val="00F41F73"/>
    <w:rsid w:val="00F461DB"/>
    <w:rsid w:val="00F468D4"/>
    <w:rsid w:val="00F47377"/>
    <w:rsid w:val="00F51A9E"/>
    <w:rsid w:val="00F52406"/>
    <w:rsid w:val="00F52FCB"/>
    <w:rsid w:val="00F55986"/>
    <w:rsid w:val="00F5694B"/>
    <w:rsid w:val="00F56D5C"/>
    <w:rsid w:val="00F56DCF"/>
    <w:rsid w:val="00F6190C"/>
    <w:rsid w:val="00F62E6A"/>
    <w:rsid w:val="00F65BA4"/>
    <w:rsid w:val="00F66556"/>
    <w:rsid w:val="00F672EF"/>
    <w:rsid w:val="00F70743"/>
    <w:rsid w:val="00F707AA"/>
    <w:rsid w:val="00F72674"/>
    <w:rsid w:val="00F72F53"/>
    <w:rsid w:val="00F74519"/>
    <w:rsid w:val="00F74BEB"/>
    <w:rsid w:val="00F76EDC"/>
    <w:rsid w:val="00F779B8"/>
    <w:rsid w:val="00F802A5"/>
    <w:rsid w:val="00F81007"/>
    <w:rsid w:val="00F83B65"/>
    <w:rsid w:val="00F83FD5"/>
    <w:rsid w:val="00F86088"/>
    <w:rsid w:val="00F862C1"/>
    <w:rsid w:val="00F867B9"/>
    <w:rsid w:val="00F86B0D"/>
    <w:rsid w:val="00F96ADD"/>
    <w:rsid w:val="00F97598"/>
    <w:rsid w:val="00F97B69"/>
    <w:rsid w:val="00FA01C8"/>
    <w:rsid w:val="00FA0C5A"/>
    <w:rsid w:val="00FA0F62"/>
    <w:rsid w:val="00FA2E43"/>
    <w:rsid w:val="00FA533B"/>
    <w:rsid w:val="00FA55A2"/>
    <w:rsid w:val="00FA6333"/>
    <w:rsid w:val="00FB0EF2"/>
    <w:rsid w:val="00FB131B"/>
    <w:rsid w:val="00FB1726"/>
    <w:rsid w:val="00FB1FA6"/>
    <w:rsid w:val="00FB3386"/>
    <w:rsid w:val="00FB40B4"/>
    <w:rsid w:val="00FB5A15"/>
    <w:rsid w:val="00FB5CF9"/>
    <w:rsid w:val="00FB616F"/>
    <w:rsid w:val="00FB6E99"/>
    <w:rsid w:val="00FB7634"/>
    <w:rsid w:val="00FC0D23"/>
    <w:rsid w:val="00FC1611"/>
    <w:rsid w:val="00FC5383"/>
    <w:rsid w:val="00FC74F0"/>
    <w:rsid w:val="00FD13ED"/>
    <w:rsid w:val="00FD3940"/>
    <w:rsid w:val="00FD40F8"/>
    <w:rsid w:val="00FD4F73"/>
    <w:rsid w:val="00FE3164"/>
    <w:rsid w:val="00FE6033"/>
    <w:rsid w:val="00FE6D7F"/>
    <w:rsid w:val="00FF224A"/>
    <w:rsid w:val="00FF2BA4"/>
    <w:rsid w:val="00FF34B5"/>
    <w:rsid w:val="00FF3E4A"/>
    <w:rsid w:val="00FF3FC1"/>
    <w:rsid w:val="00FF4DCF"/>
    <w:rsid w:val="00FF73EC"/>
  </w:rsids>
  <m:mathPr>
    <m:mathFont m:val="Cambria Math"/>
    <m:brkBin m:val="before"/>
    <m:brkBinSub m:val="--"/>
    <m:smallFrac m:val="0"/>
    <m:dispDef/>
    <m:lMargin m:val="0"/>
    <m:rMargin m:val="0"/>
    <m:defJc m:val="centerGroup"/>
    <m:wrapIndent m:val="1440"/>
    <m:intLim m:val="subSup"/>
    <m:naryLim m:val="undOvr"/>
  </m:mathPr>
  <w:themeFontLang w:val="es-V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7B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7D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0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B3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7D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0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B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1501</Words>
  <Characters>8556</Characters>
  <Application>Microsoft Macintosh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Rolando Hernández</dc:creator>
  <cp:lastModifiedBy>JOSE HERNANDEZ</cp:lastModifiedBy>
  <cp:revision>2</cp:revision>
  <dcterms:created xsi:type="dcterms:W3CDTF">2013-01-18T14:01:00Z</dcterms:created>
  <dcterms:modified xsi:type="dcterms:W3CDTF">2013-01-18T14:01:00Z</dcterms:modified>
</cp:coreProperties>
</file>