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Use of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high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and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rates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admission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for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acute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: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multicenter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,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retrospective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observational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analysis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administrative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databases</w:t>
      </w:r>
      <w:proofErr w:type="spellEnd"/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bookmarkStart w:id="0" w:name="_GoBack"/>
      <w:bookmarkEnd w:id="0"/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Information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sourced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from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r w:rsidRPr="00611B6F">
        <w:rPr>
          <w:rFonts w:ascii="Times New Roman" w:eastAsia="Times New Roman" w:hAnsi="Times New Roman" w:cs="Times New Roman"/>
          <w:i/>
          <w:iCs/>
          <w:sz w:val="24"/>
          <w:szCs w:val="24"/>
          <w:lang w:val="es-US" w:eastAsia="es-VE"/>
        </w:rPr>
        <w:t>BMJ: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r w:rsidRPr="00611B6F">
        <w:rPr>
          <w:rFonts w:ascii="Times New Roman" w:eastAsia="Times New Roman" w:hAnsi="Times New Roman" w:cs="Times New Roman"/>
          <w:i/>
          <w:iCs/>
          <w:sz w:val="24"/>
          <w:szCs w:val="24"/>
          <w:lang w:val="es-US" w:eastAsia="es-VE"/>
        </w:rPr>
        <w:t>BMJ</w:t>
      </w: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2013</w:t>
      </w:r>
      <w:proofErr w:type="gram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;346:f880</w:t>
      </w:r>
      <w:proofErr w:type="gram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br/>
        <w:t>[</w:t>
      </w:r>
      <w:hyperlink r:id="rId5" w:tgtFrame="_blank" w:history="1"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Free full-</w:t>
        </w:r>
        <w:proofErr w:type="spellStart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text</w:t>
        </w:r>
        <w:proofErr w:type="spellEnd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 xml:space="preserve"> BMJ </w:t>
        </w:r>
        <w:proofErr w:type="spellStart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article</w:t>
        </w:r>
        <w:proofErr w:type="spellEnd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 xml:space="preserve"> PDF</w:t>
        </w:r>
      </w:hyperlink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| </w:t>
      </w:r>
      <w:hyperlink r:id="rId6" w:tgtFrame="_blank" w:history="1">
        <w:proofErr w:type="spellStart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PubMed</w:t>
        </w:r>
        <w:proofErr w:type="spellEnd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® abstract</w:t>
        </w:r>
      </w:hyperlink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]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Research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Colin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Dormuth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, Brenda 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Hemmelgarn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, J Michael Paterson, et al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Correspondence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to: C 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Dormuth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hyperlink r:id="rId7" w:tgtFrame="_blank" w:history="1"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colin.dormuth@ti.ubc.ca</w:t>
        </w:r>
      </w:hyperlink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Abstract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Objective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To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quantify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association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between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acute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and use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high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versus low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Design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Retrospective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observational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analysis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administrative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databases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,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using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nine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population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based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cohort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studies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and meta-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analysis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performed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as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treated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analyses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each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database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a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nested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case-control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design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Rate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ratios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different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durations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current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and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past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exposure to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high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low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estimated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using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conditional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logistic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regression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Ratios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adjusted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confounding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by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high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dimensional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propensity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scores. Meta-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analytic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methods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estimated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overall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effects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across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participating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sites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Setting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Seven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Canadian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provinces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and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two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databases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United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Kingdom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and 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United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Participants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2 067 639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patients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aged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40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years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older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and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newly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treated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between 1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January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1997 and 30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April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2008.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Each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person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hospitalized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acute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was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matched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ten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controls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Intervention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dispensing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event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was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new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if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no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cholesterol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lowering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drug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niacin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prescription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was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dispensed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previous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year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High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treatment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was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defined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as ≥10 mg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rosuvastatin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, ≥20 mg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atorvastatin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, and ≥40 mg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simvastatin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; all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other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treatments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defined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as low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groups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further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divided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into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cohorts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or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without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chronic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disease.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Main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outcome</w:t>
      </w:r>
      <w:proofErr w:type="spellEnd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measure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Relative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hospitalization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rates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acute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Results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more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than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two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million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users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(2 008 003 with non-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chronic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disease; 59 636 with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chronic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disease),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patients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similar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propensity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scores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comparable on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measured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characteristics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Within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120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days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current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treatment,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there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4691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hospitalizations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acute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patients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non-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chronic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, and 1896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hospitalizations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those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chronic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In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patients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non-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chronic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disease,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current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users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lastRenderedPageBreak/>
        <w:t>high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were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34% more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likely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to be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hospitalized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acute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within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120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days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after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starting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treatment (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fixed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effect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rate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ratio 1.34, 95%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confidence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interval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1.25 to 1.43).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Users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high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chronic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disease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did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not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have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as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large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increase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admission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rate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(1.10, 0.99 to 1.23). χ</w:t>
      </w:r>
      <w:r w:rsidRPr="00611B6F">
        <w:rPr>
          <w:rFonts w:ascii="Times New Roman" w:eastAsia="Times New Roman" w:hAnsi="Times New Roman" w:cs="Times New Roman"/>
          <w:sz w:val="24"/>
          <w:szCs w:val="24"/>
          <w:vertAlign w:val="superscript"/>
          <w:lang w:val="es-US" w:eastAsia="es-VE"/>
        </w:rPr>
        <w:t>2</w:t>
      </w: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tests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heterogeneity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confirmed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that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observed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association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was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robust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across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participating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sites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es-VE"/>
        </w:rPr>
        <w:t>Conclusions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Use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high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associated with an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increased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rate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diagnosis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acute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kidney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injury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hospital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admissions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compared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with low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potency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effect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seems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to be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strongest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in 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first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120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days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after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initiation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of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statin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treatment.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© 2013 BMJ Publishing Group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Ltd</w:t>
      </w:r>
      <w:proofErr w:type="spellEnd"/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above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message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comes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from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r w:rsidRPr="00611B6F">
        <w:rPr>
          <w:rFonts w:ascii="Times New Roman" w:eastAsia="Times New Roman" w:hAnsi="Times New Roman" w:cs="Times New Roman"/>
          <w:i/>
          <w:iCs/>
          <w:sz w:val="24"/>
          <w:szCs w:val="24"/>
          <w:lang w:val="es-US" w:eastAsia="es-VE"/>
        </w:rPr>
        <w:t>BMJ</w:t>
      </w: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,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who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solely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responsible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for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its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content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You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have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received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this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email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because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you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requested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follow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-up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information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to an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Epocrates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DocAlert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®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Message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. For more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information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about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DocAlert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®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Messages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,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please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hyperlink r:id="rId8" w:tgtFrame="_blank" w:history="1">
        <w:proofErr w:type="spellStart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click</w:t>
        </w:r>
        <w:proofErr w:type="spellEnd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 xml:space="preserve"> </w:t>
        </w:r>
        <w:proofErr w:type="spellStart"/>
        <w:r w:rsidRPr="00611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S" w:eastAsia="es-VE"/>
          </w:rPr>
          <w:t>here</w:t>
        </w:r>
        <w:proofErr w:type="spellEnd"/>
      </w:hyperlink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.</w:t>
      </w:r>
    </w:p>
    <w:p w:rsidR="00611B6F" w:rsidRPr="00611B6F" w:rsidRDefault="00611B6F" w:rsidP="0061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Best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wishes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,</w:t>
      </w: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br/>
        <w:t xml:space="preserve">The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Epocrates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 xml:space="preserve"> </w:t>
      </w:r>
      <w:proofErr w:type="spellStart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t>Team</w:t>
      </w:r>
      <w:proofErr w:type="spellEnd"/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br/>
        <w:t>1100 Park Place, #300</w:t>
      </w:r>
      <w:r w:rsidRPr="00611B6F"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  <w:br/>
        <w:t>San Mateo, CA 94403</w:t>
      </w:r>
    </w:p>
    <w:p w:rsidR="00611B6F" w:rsidRPr="00611B6F" w:rsidRDefault="00611B6F" w:rsidP="0061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es-VE"/>
        </w:rPr>
      </w:pPr>
    </w:p>
    <w:p w:rsidR="00136C27" w:rsidRDefault="00136C27"/>
    <w:sectPr w:rsidR="00136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F"/>
    <w:rsid w:val="00136C27"/>
    <w:rsid w:val="006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b.epocrates.com/mailbot/links?EdID=46965446&amp;LinkID=16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in.dormuth@ti.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3511950" TargetMode="External"/><Relationship Id="rId5" Type="http://schemas.openxmlformats.org/officeDocument/2006/relationships/hyperlink" Target="http://www.epocrates.com/dacc/1304/HighPotencyStatinsAcuteKidneyInjuryBMJ13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3134</Characters>
  <Application>Microsoft Office Word</Application>
  <DocSecurity>0</DocSecurity>
  <Lines>26</Lines>
  <Paragraphs>7</Paragraphs>
  <ScaleCrop>false</ScaleCrop>
  <Company>Hewlett-Packard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2013-04-22T17:10:00Z</dcterms:created>
  <dcterms:modified xsi:type="dcterms:W3CDTF">2013-04-22T17:11:00Z</dcterms:modified>
</cp:coreProperties>
</file>