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11" w:rsidRDefault="00A94B11" w:rsidP="00A94B11">
      <w:pPr>
        <w:spacing w:after="0" w:line="240" w:lineRule="auto"/>
        <w:rPr>
          <w:rFonts w:ascii="Arial" w:eastAsia="Batang" w:hAnsi="Arial" w:cs="Arial"/>
          <w:sz w:val="28"/>
          <w:szCs w:val="28"/>
          <w:lang w:val="es-ES" w:eastAsia="ko-KR"/>
        </w:rPr>
      </w:pPr>
    </w:p>
    <w:p w:rsidR="00A94B11" w:rsidRPr="0092338C" w:rsidRDefault="00A94B11" w:rsidP="00A94B11">
      <w:pPr>
        <w:shd w:val="clear" w:color="auto" w:fill="FFFFFF"/>
        <w:spacing w:line="240" w:lineRule="auto"/>
        <w:rPr>
          <w:rFonts w:ascii="Arial" w:eastAsia="Times New Roman" w:hAnsi="Arial" w:cs="Arial"/>
          <w:b/>
          <w:bCs/>
          <w:sz w:val="28"/>
          <w:szCs w:val="28"/>
          <w:lang w:eastAsia="es-VE"/>
        </w:rPr>
      </w:pPr>
      <w:r w:rsidRPr="0092338C">
        <w:rPr>
          <w:rFonts w:ascii="Arial" w:eastAsia="Batang" w:hAnsi="Arial" w:cs="Arial"/>
          <w:noProof/>
          <w:color w:val="FF0000"/>
          <w:sz w:val="28"/>
          <w:szCs w:val="28"/>
          <w:lang w:eastAsia="es-VE"/>
        </w:rPr>
        <w:drawing>
          <wp:inline distT="0" distB="0" distL="0" distR="0">
            <wp:extent cx="1402080" cy="1329055"/>
            <wp:effectExtent l="0" t="0" r="7620" b="444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080" cy="1329055"/>
                    </a:xfrm>
                    <a:prstGeom prst="rect">
                      <a:avLst/>
                    </a:prstGeom>
                    <a:noFill/>
                  </pic:spPr>
                </pic:pic>
              </a:graphicData>
            </a:graphic>
          </wp:inline>
        </w:drawing>
      </w:r>
      <w:r w:rsidRPr="00226172">
        <w:rPr>
          <w:rFonts w:ascii="Arial" w:eastAsia="Batang" w:hAnsi="Arial" w:cs="Arial"/>
          <w:color w:val="FF0000"/>
          <w:sz w:val="28"/>
          <w:szCs w:val="28"/>
          <w:lang w:val="es-ES" w:eastAsia="ko-KR"/>
        </w:rPr>
        <w:t xml:space="preserve"> </w:t>
      </w:r>
      <w:r w:rsidRPr="006E40A0">
        <w:rPr>
          <w:rFonts w:ascii="Helvetica" w:eastAsia="Times New Roman" w:hAnsi="Helvetica" w:cs="Times New Roman"/>
          <w:b/>
          <w:bCs/>
          <w:color w:val="FF0000"/>
          <w:sz w:val="28"/>
          <w:szCs w:val="28"/>
          <w:lang w:eastAsia="es-VE"/>
        </w:rPr>
        <w:t xml:space="preserve"> </w:t>
      </w:r>
      <w:r w:rsidRPr="0092338C">
        <w:rPr>
          <w:rFonts w:ascii="Arial" w:eastAsia="Times New Roman" w:hAnsi="Arial" w:cs="Arial"/>
          <w:b/>
          <w:bCs/>
          <w:sz w:val="28"/>
          <w:szCs w:val="28"/>
          <w:lang w:eastAsia="es-VE"/>
        </w:rPr>
        <w:t>GALA; Global Alliance Latinoamérica, un trabajo global para mejorar el conocimiento del acné.</w:t>
      </w:r>
    </w:p>
    <w:p w:rsidR="00A94B11" w:rsidRPr="0092338C" w:rsidRDefault="00A94B11" w:rsidP="00A94B11">
      <w:pPr>
        <w:shd w:val="clear" w:color="auto" w:fill="FFFFFF"/>
        <w:spacing w:line="240" w:lineRule="auto"/>
        <w:rPr>
          <w:rFonts w:ascii="Arial" w:eastAsia="Times New Roman" w:hAnsi="Arial" w:cs="Arial"/>
          <w:sz w:val="28"/>
          <w:szCs w:val="28"/>
          <w:lang w:eastAsia="es-VE"/>
        </w:rPr>
      </w:pPr>
      <w:r w:rsidRPr="0092338C">
        <w:rPr>
          <w:rFonts w:ascii="Arial" w:eastAsia="Times New Roman" w:hAnsi="Arial" w:cs="Arial"/>
          <w:bCs/>
          <w:sz w:val="28"/>
          <w:szCs w:val="28"/>
          <w:lang w:eastAsia="es-VE"/>
        </w:rPr>
        <w:t xml:space="preserve">Bienvenidos al nuevo modulo de GALA. A partir de esta edición tendrán una ventana  de </w:t>
      </w:r>
      <w:r w:rsidRPr="0092338C">
        <w:rPr>
          <w:rFonts w:ascii="Arial" w:eastAsia="Times New Roman" w:hAnsi="Arial" w:cs="Arial"/>
          <w:sz w:val="28"/>
          <w:szCs w:val="28"/>
          <w:lang w:eastAsia="es-VE"/>
        </w:rPr>
        <w:t xml:space="preserve"> información reciente en el campo del acné y relacionada con el trabajo permanente que llevamos a cabo  con el objeto de mantener a la comunidad latinoamericana acerca de las tendencias y avances recientes en relación a esta patología. </w:t>
      </w:r>
    </w:p>
    <w:p w:rsidR="00A94B11" w:rsidRPr="0092338C" w:rsidRDefault="00A94B11" w:rsidP="00A94B11">
      <w:pPr>
        <w:shd w:val="clear" w:color="auto" w:fill="FFFFFF"/>
        <w:spacing w:line="240" w:lineRule="auto"/>
        <w:rPr>
          <w:rFonts w:ascii="Arial" w:eastAsia="Times New Roman" w:hAnsi="Arial" w:cs="Arial"/>
          <w:sz w:val="28"/>
          <w:szCs w:val="28"/>
          <w:lang w:eastAsia="es-VE"/>
        </w:rPr>
      </w:pPr>
      <w:r w:rsidRPr="0092338C">
        <w:rPr>
          <w:rFonts w:ascii="Arial" w:eastAsia="Times New Roman" w:hAnsi="Arial" w:cs="Arial"/>
          <w:sz w:val="28"/>
          <w:szCs w:val="28"/>
          <w:lang w:eastAsia="es-VE"/>
        </w:rPr>
        <w:t>En esta primera edición  nuestra posición como dermatólogos para lograr un uso más racional de los antibióticos en nuestra especialidad y colaborar a esta cruzada mundial para un buen uso de ellos.</w:t>
      </w:r>
    </w:p>
    <w:p w:rsidR="00A7510F" w:rsidRDefault="00CF060F" w:rsidP="00B82ECD">
      <w:pPr>
        <w:pStyle w:val="NormalWeb"/>
        <w:jc w:val="center"/>
        <w:rPr>
          <w:rFonts w:ascii="Arial" w:hAnsi="Arial" w:cs="Arial"/>
          <w:b/>
          <w:sz w:val="28"/>
          <w:szCs w:val="28"/>
        </w:rPr>
      </w:pPr>
      <w:r w:rsidRPr="00B82ECD">
        <w:rPr>
          <w:rFonts w:ascii="Arial" w:hAnsi="Arial" w:cs="Arial"/>
          <w:b/>
          <w:sz w:val="28"/>
          <w:szCs w:val="28"/>
        </w:rPr>
        <w:t xml:space="preserve">Uso racional de antibióticos en </w:t>
      </w:r>
      <w:proofErr w:type="spellStart"/>
      <w:r w:rsidRPr="00B82ECD">
        <w:rPr>
          <w:rFonts w:ascii="Arial" w:hAnsi="Arial" w:cs="Arial"/>
          <w:b/>
          <w:sz w:val="28"/>
          <w:szCs w:val="28"/>
        </w:rPr>
        <w:t>Dermatologia</w:t>
      </w:r>
      <w:proofErr w:type="spellEnd"/>
    </w:p>
    <w:p w:rsidR="00A7510F" w:rsidRPr="00416E2E" w:rsidRDefault="00A7510F" w:rsidP="00416E2E">
      <w:pPr>
        <w:pStyle w:val="NormalWeb"/>
        <w:jc w:val="both"/>
        <w:rPr>
          <w:rFonts w:ascii="Arial" w:hAnsi="Arial" w:cs="Arial"/>
          <w:sz w:val="28"/>
          <w:szCs w:val="28"/>
        </w:rPr>
      </w:pPr>
      <w:r w:rsidRPr="00416E2E">
        <w:rPr>
          <w:rFonts w:ascii="Arial" w:hAnsi="Arial" w:cs="Arial"/>
          <w:sz w:val="28"/>
          <w:szCs w:val="28"/>
        </w:rPr>
        <w:t xml:space="preserve">La resistencia bacteriana a los antibióticos </w:t>
      </w:r>
      <w:r w:rsidR="00940959" w:rsidRPr="00416E2E">
        <w:rPr>
          <w:rFonts w:ascii="Arial" w:hAnsi="Arial" w:cs="Arial"/>
          <w:sz w:val="28"/>
          <w:szCs w:val="28"/>
        </w:rPr>
        <w:t xml:space="preserve"> </w:t>
      </w:r>
      <w:r w:rsidRPr="00416E2E">
        <w:rPr>
          <w:rFonts w:ascii="Arial" w:hAnsi="Arial" w:cs="Arial"/>
          <w:sz w:val="28"/>
          <w:szCs w:val="28"/>
        </w:rPr>
        <w:t xml:space="preserve">(RBA) es un problema creciente </w:t>
      </w:r>
      <w:r w:rsidR="00416E2E">
        <w:rPr>
          <w:rFonts w:ascii="Arial" w:hAnsi="Arial" w:cs="Arial"/>
          <w:sz w:val="28"/>
          <w:szCs w:val="28"/>
        </w:rPr>
        <w:t>de</w:t>
      </w:r>
      <w:r w:rsidRPr="00416E2E">
        <w:rPr>
          <w:rFonts w:ascii="Arial" w:hAnsi="Arial" w:cs="Arial"/>
          <w:sz w:val="28"/>
          <w:szCs w:val="28"/>
        </w:rPr>
        <w:t xml:space="preserve"> interés global y gran impacto para la humanidad, por lo que en la última reunión de ocho naciones (Canadá, Francia, Alemania, Italia, Japón, Rusia, Reino Unido y </w:t>
      </w:r>
      <w:r w:rsidR="00CF060F" w:rsidRPr="00416E2E">
        <w:rPr>
          <w:rFonts w:ascii="Arial" w:hAnsi="Arial" w:cs="Arial"/>
          <w:sz w:val="28"/>
          <w:szCs w:val="28"/>
        </w:rPr>
        <w:t>Estados Unidos de América) cono</w:t>
      </w:r>
      <w:r w:rsidRPr="00416E2E">
        <w:rPr>
          <w:rFonts w:ascii="Arial" w:hAnsi="Arial" w:cs="Arial"/>
          <w:sz w:val="28"/>
          <w:szCs w:val="28"/>
        </w:rPr>
        <w:t>cida como G8 y llevada a cabo en Junio de 2013, los ministros de salud de estos países incluyeron en su agenda el fenómeno de la RBA, planteándose el tópico como “uno de los mayores desafíos de la salud pública y seguridad sanitaria del siglo XXI”.</w:t>
      </w:r>
    </w:p>
    <w:p w:rsidR="00A7510F" w:rsidRPr="00416E2E" w:rsidRDefault="00A7510F" w:rsidP="00416E2E">
      <w:pPr>
        <w:pStyle w:val="NormalWeb"/>
        <w:spacing w:line="276" w:lineRule="auto"/>
        <w:jc w:val="both"/>
        <w:rPr>
          <w:rFonts w:ascii="Arial" w:hAnsi="Arial" w:cs="Arial"/>
          <w:sz w:val="28"/>
          <w:szCs w:val="28"/>
        </w:rPr>
      </w:pPr>
      <w:r w:rsidRPr="00416E2E">
        <w:rPr>
          <w:rFonts w:ascii="Arial" w:hAnsi="Arial" w:cs="Arial"/>
          <w:sz w:val="28"/>
          <w:szCs w:val="28"/>
        </w:rPr>
        <w:t>Además de las repercusiones de este fenómeno en la salud humana, la industria veterinaria y ganadera utiliza la mayor cantidad de antibióticos a nivel mundial, con el consiguiente impacto ecológico-bacteriológico en estos animales y en quienes se aliment</w:t>
      </w:r>
      <w:r w:rsidR="00CF060F" w:rsidRPr="00416E2E">
        <w:rPr>
          <w:rFonts w:ascii="Arial" w:hAnsi="Arial" w:cs="Arial"/>
          <w:sz w:val="28"/>
          <w:szCs w:val="28"/>
        </w:rPr>
        <w:t>an de ellos. En el año 2011, Es</w:t>
      </w:r>
      <w:r w:rsidRPr="00416E2E">
        <w:rPr>
          <w:rFonts w:ascii="Arial" w:hAnsi="Arial" w:cs="Arial"/>
          <w:sz w:val="28"/>
          <w:szCs w:val="28"/>
        </w:rPr>
        <w:t xml:space="preserve">tados Unidos de América usó 80 % de los antibióticos de la industria farmacéutica en el ganado productor de carne y leche. Las complicaciones hospitalarias secundarias a esquemas </w:t>
      </w:r>
      <w:r w:rsidR="00416E2E">
        <w:rPr>
          <w:rFonts w:ascii="Arial" w:hAnsi="Arial" w:cs="Arial"/>
          <w:sz w:val="28"/>
          <w:szCs w:val="28"/>
        </w:rPr>
        <w:t xml:space="preserve"> </w:t>
      </w:r>
      <w:r w:rsidRPr="00416E2E">
        <w:rPr>
          <w:rFonts w:ascii="Arial" w:hAnsi="Arial" w:cs="Arial"/>
          <w:sz w:val="28"/>
          <w:szCs w:val="28"/>
        </w:rPr>
        <w:t xml:space="preserve">antibióticos de amplio espectro y por largos periodos de tiempo, más allá del desarrollo de resistencia por algunos gérmenes, deriva también en un severo impacto ecológico </w:t>
      </w:r>
      <w:r w:rsidRPr="00416E2E">
        <w:rPr>
          <w:rFonts w:ascii="Arial" w:hAnsi="Arial" w:cs="Arial"/>
          <w:sz w:val="28"/>
          <w:szCs w:val="28"/>
        </w:rPr>
        <w:lastRenderedPageBreak/>
        <w:t>al microbioma humano de</w:t>
      </w:r>
      <w:r w:rsidR="00416E2E">
        <w:rPr>
          <w:rFonts w:ascii="Arial" w:hAnsi="Arial" w:cs="Arial"/>
          <w:sz w:val="28"/>
          <w:szCs w:val="28"/>
        </w:rPr>
        <w:t>l</w:t>
      </w:r>
      <w:r w:rsidRPr="00416E2E">
        <w:rPr>
          <w:rFonts w:ascii="Arial" w:hAnsi="Arial" w:cs="Arial"/>
          <w:sz w:val="28"/>
          <w:szCs w:val="28"/>
        </w:rPr>
        <w:t xml:space="preserve"> intestino, vagina y cavidad oral. Dichas complicaciones van desde candidiasis vaginal, oral, intestinal y zona del pañal</w:t>
      </w:r>
      <w:r w:rsidR="00416E2E">
        <w:rPr>
          <w:rFonts w:ascii="Arial" w:hAnsi="Arial" w:cs="Arial"/>
          <w:sz w:val="28"/>
          <w:szCs w:val="28"/>
        </w:rPr>
        <w:t>,</w:t>
      </w:r>
      <w:r w:rsidRPr="00416E2E">
        <w:rPr>
          <w:rFonts w:ascii="Arial" w:hAnsi="Arial" w:cs="Arial"/>
          <w:sz w:val="28"/>
          <w:szCs w:val="28"/>
        </w:rPr>
        <w:t xml:space="preserve"> en niños y adultos, hasta la colitis </w:t>
      </w:r>
      <w:proofErr w:type="spellStart"/>
      <w:r w:rsidRPr="00416E2E">
        <w:rPr>
          <w:rFonts w:ascii="Arial" w:hAnsi="Arial" w:cs="Arial"/>
          <w:sz w:val="28"/>
          <w:szCs w:val="28"/>
        </w:rPr>
        <w:t>pseudomembranosa</w:t>
      </w:r>
      <w:proofErr w:type="spellEnd"/>
      <w:r w:rsidRPr="00416E2E">
        <w:rPr>
          <w:rFonts w:ascii="Arial" w:hAnsi="Arial" w:cs="Arial"/>
          <w:sz w:val="28"/>
          <w:szCs w:val="28"/>
        </w:rPr>
        <w:t xml:space="preserve">, que se ha convertido en un problema epidémico a nivel nosocomial. Otra situación que no debe perderse de vista es la posibilidad de desencadenar una </w:t>
      </w:r>
      <w:proofErr w:type="spellStart"/>
      <w:r w:rsidRPr="00416E2E">
        <w:rPr>
          <w:rFonts w:ascii="Arial" w:hAnsi="Arial" w:cs="Arial"/>
          <w:sz w:val="28"/>
          <w:szCs w:val="28"/>
        </w:rPr>
        <w:t>farmaco</w:t>
      </w:r>
      <w:r w:rsidR="00CF060F" w:rsidRPr="00416E2E">
        <w:rPr>
          <w:rFonts w:ascii="Arial" w:hAnsi="Arial" w:cs="Arial"/>
          <w:sz w:val="28"/>
          <w:szCs w:val="28"/>
        </w:rPr>
        <w:t>dermia</w:t>
      </w:r>
      <w:proofErr w:type="spellEnd"/>
      <w:r w:rsidR="00CF060F" w:rsidRPr="00416E2E">
        <w:rPr>
          <w:rFonts w:ascii="Arial" w:hAnsi="Arial" w:cs="Arial"/>
          <w:sz w:val="28"/>
          <w:szCs w:val="28"/>
        </w:rPr>
        <w:t>, por ejemplo: la</w:t>
      </w:r>
      <w:r w:rsidR="00940959" w:rsidRPr="00416E2E">
        <w:rPr>
          <w:rFonts w:ascii="Arial" w:hAnsi="Arial" w:cs="Arial"/>
          <w:sz w:val="28"/>
          <w:szCs w:val="28"/>
        </w:rPr>
        <w:t xml:space="preserve"> </w:t>
      </w:r>
      <w:proofErr w:type="spellStart"/>
      <w:r w:rsidR="00CF060F" w:rsidRPr="00416E2E">
        <w:rPr>
          <w:rFonts w:ascii="Arial" w:hAnsi="Arial" w:cs="Arial"/>
          <w:sz w:val="28"/>
          <w:szCs w:val="28"/>
        </w:rPr>
        <w:t>minociclina</w:t>
      </w:r>
      <w:proofErr w:type="spellEnd"/>
      <w:r w:rsidR="00CF060F" w:rsidRPr="00416E2E">
        <w:rPr>
          <w:rFonts w:ascii="Arial" w:hAnsi="Arial" w:cs="Arial"/>
          <w:sz w:val="28"/>
          <w:szCs w:val="28"/>
        </w:rPr>
        <w:t xml:space="preserve"> s</w:t>
      </w:r>
      <w:bookmarkStart w:id="0" w:name="_GoBack"/>
      <w:bookmarkEnd w:id="0"/>
      <w:r w:rsidRPr="00416E2E">
        <w:rPr>
          <w:rFonts w:ascii="Arial" w:hAnsi="Arial" w:cs="Arial"/>
          <w:sz w:val="28"/>
          <w:szCs w:val="28"/>
        </w:rPr>
        <w:t>e asocia con síndrome DRESS y otros efectos colaterales</w:t>
      </w:r>
      <w:r w:rsidR="00416E2E">
        <w:rPr>
          <w:rFonts w:ascii="Arial" w:hAnsi="Arial" w:cs="Arial"/>
          <w:sz w:val="28"/>
          <w:szCs w:val="28"/>
        </w:rPr>
        <w:t>;</w:t>
      </w:r>
      <w:r w:rsidR="00940959" w:rsidRPr="00416E2E">
        <w:rPr>
          <w:rFonts w:ascii="Arial" w:hAnsi="Arial" w:cs="Arial"/>
          <w:sz w:val="28"/>
          <w:szCs w:val="28"/>
        </w:rPr>
        <w:t xml:space="preserve"> </w:t>
      </w:r>
      <w:proofErr w:type="spellStart"/>
      <w:r w:rsidRPr="00416E2E">
        <w:rPr>
          <w:rFonts w:ascii="Arial" w:hAnsi="Arial" w:cs="Arial"/>
          <w:sz w:val="28"/>
          <w:szCs w:val="28"/>
        </w:rPr>
        <w:t>Amoxicilina</w:t>
      </w:r>
      <w:proofErr w:type="spellEnd"/>
      <w:r w:rsidRPr="00416E2E">
        <w:rPr>
          <w:rFonts w:ascii="Arial" w:hAnsi="Arial" w:cs="Arial"/>
          <w:sz w:val="28"/>
          <w:szCs w:val="28"/>
        </w:rPr>
        <w:t>: Causa frecuente de sarpullidos</w:t>
      </w:r>
      <w:r w:rsidR="00416E2E">
        <w:rPr>
          <w:rFonts w:ascii="Arial" w:hAnsi="Arial" w:cs="Arial"/>
          <w:sz w:val="28"/>
          <w:szCs w:val="28"/>
        </w:rPr>
        <w:t>:</w:t>
      </w:r>
      <w:r w:rsidR="00940959" w:rsidRPr="00416E2E">
        <w:rPr>
          <w:rFonts w:ascii="Arial" w:hAnsi="Arial" w:cs="Arial"/>
          <w:sz w:val="28"/>
          <w:szCs w:val="28"/>
        </w:rPr>
        <w:t xml:space="preserve"> </w:t>
      </w:r>
      <w:proofErr w:type="spellStart"/>
      <w:r w:rsidRPr="00416E2E">
        <w:rPr>
          <w:rFonts w:ascii="Arial" w:hAnsi="Arial" w:cs="Arial"/>
          <w:sz w:val="28"/>
          <w:szCs w:val="28"/>
        </w:rPr>
        <w:t>Sulfas</w:t>
      </w:r>
      <w:proofErr w:type="spellEnd"/>
      <w:r w:rsidRPr="00416E2E">
        <w:rPr>
          <w:rFonts w:ascii="Arial" w:hAnsi="Arial" w:cs="Arial"/>
          <w:sz w:val="28"/>
          <w:szCs w:val="28"/>
        </w:rPr>
        <w:t xml:space="preserve">: Se asocian a síndrome de Stevens Johnson y </w:t>
      </w:r>
      <w:proofErr w:type="spellStart"/>
      <w:r w:rsidRPr="00416E2E">
        <w:rPr>
          <w:rFonts w:ascii="Arial" w:hAnsi="Arial" w:cs="Arial"/>
          <w:sz w:val="28"/>
          <w:szCs w:val="28"/>
        </w:rPr>
        <w:t>necrólisis</w:t>
      </w:r>
      <w:proofErr w:type="spellEnd"/>
      <w:r w:rsidRPr="00416E2E">
        <w:rPr>
          <w:rFonts w:ascii="Arial" w:hAnsi="Arial" w:cs="Arial"/>
          <w:sz w:val="28"/>
          <w:szCs w:val="28"/>
        </w:rPr>
        <w:t xml:space="preserve"> epidérmica tóxica</w:t>
      </w:r>
    </w:p>
    <w:p w:rsidR="00A7510F" w:rsidRPr="00416E2E" w:rsidRDefault="00416E2E" w:rsidP="00416E2E">
      <w:pPr>
        <w:pStyle w:val="NormalWeb"/>
        <w:jc w:val="both"/>
        <w:rPr>
          <w:rFonts w:ascii="Arial" w:hAnsi="Arial" w:cs="Arial"/>
          <w:b/>
          <w:sz w:val="28"/>
          <w:szCs w:val="28"/>
        </w:rPr>
      </w:pPr>
      <w:r>
        <w:rPr>
          <w:rFonts w:ascii="Arial" w:hAnsi="Arial" w:cs="Arial"/>
          <w:b/>
          <w:sz w:val="28"/>
          <w:szCs w:val="28"/>
        </w:rPr>
        <w:t>T</w:t>
      </w:r>
      <w:r w:rsidRPr="00416E2E">
        <w:rPr>
          <w:rFonts w:ascii="Arial" w:hAnsi="Arial" w:cs="Arial"/>
          <w:b/>
          <w:sz w:val="28"/>
          <w:szCs w:val="28"/>
        </w:rPr>
        <w:t xml:space="preserve">erapia </w:t>
      </w:r>
      <w:r>
        <w:rPr>
          <w:rFonts w:ascii="Arial" w:hAnsi="Arial" w:cs="Arial"/>
          <w:b/>
          <w:sz w:val="28"/>
          <w:szCs w:val="28"/>
        </w:rPr>
        <w:t>A</w:t>
      </w:r>
      <w:r w:rsidRPr="00416E2E">
        <w:rPr>
          <w:rFonts w:ascii="Arial" w:hAnsi="Arial" w:cs="Arial"/>
          <w:b/>
          <w:sz w:val="28"/>
          <w:szCs w:val="28"/>
        </w:rPr>
        <w:t>ntibiótica</w:t>
      </w:r>
    </w:p>
    <w:p w:rsidR="00A7510F" w:rsidRPr="00416E2E" w:rsidRDefault="00A7510F" w:rsidP="00416E2E">
      <w:pPr>
        <w:pStyle w:val="NormalWeb"/>
        <w:jc w:val="both"/>
        <w:rPr>
          <w:rFonts w:ascii="Arial" w:hAnsi="Arial" w:cs="Arial"/>
          <w:sz w:val="28"/>
          <w:szCs w:val="28"/>
        </w:rPr>
      </w:pPr>
      <w:r w:rsidRPr="00416E2E">
        <w:rPr>
          <w:rFonts w:ascii="Arial" w:hAnsi="Arial" w:cs="Arial"/>
          <w:sz w:val="28"/>
          <w:szCs w:val="28"/>
        </w:rPr>
        <w:t>En Estados Unidos de América el área dermatológica prescribe aproximadamente sólo 1 % del total de los antibióticos por año, sin embargo, 20 % de las tetraciclinas son prescritas en este ámbito (tradicionalmente los periodos de tratamiento en acné son tan largos como 6 meses hasta años). Por otra parte, se continúan indicando en el acné antibióticos tópicos (</w:t>
      </w:r>
      <w:proofErr w:type="spellStart"/>
      <w:r w:rsidRPr="00416E2E">
        <w:rPr>
          <w:rFonts w:ascii="Arial" w:hAnsi="Arial" w:cs="Arial"/>
          <w:sz w:val="28"/>
          <w:szCs w:val="28"/>
        </w:rPr>
        <w:t>clindamicina</w:t>
      </w:r>
      <w:proofErr w:type="spellEnd"/>
      <w:r w:rsidRPr="00416E2E">
        <w:rPr>
          <w:rFonts w:ascii="Arial" w:hAnsi="Arial" w:cs="Arial"/>
          <w:sz w:val="28"/>
          <w:szCs w:val="28"/>
        </w:rPr>
        <w:t xml:space="preserve"> y </w:t>
      </w:r>
      <w:proofErr w:type="spellStart"/>
      <w:r w:rsidRPr="00416E2E">
        <w:rPr>
          <w:rFonts w:ascii="Arial" w:hAnsi="Arial" w:cs="Arial"/>
          <w:sz w:val="28"/>
          <w:szCs w:val="28"/>
        </w:rPr>
        <w:t>eritromicina</w:t>
      </w:r>
      <w:proofErr w:type="spellEnd"/>
      <w:r w:rsidRPr="00416E2E">
        <w:rPr>
          <w:rFonts w:ascii="Arial" w:hAnsi="Arial" w:cs="Arial"/>
          <w:sz w:val="28"/>
          <w:szCs w:val="28"/>
        </w:rPr>
        <w:t xml:space="preserve">) como </w:t>
      </w:r>
      <w:proofErr w:type="spellStart"/>
      <w:r w:rsidRPr="00416E2E">
        <w:rPr>
          <w:rFonts w:ascii="Arial" w:hAnsi="Arial" w:cs="Arial"/>
          <w:sz w:val="28"/>
          <w:szCs w:val="28"/>
        </w:rPr>
        <w:t>monoterapia</w:t>
      </w:r>
      <w:proofErr w:type="spellEnd"/>
      <w:r w:rsidRPr="00416E2E">
        <w:rPr>
          <w:rFonts w:ascii="Arial" w:hAnsi="Arial" w:cs="Arial"/>
          <w:sz w:val="28"/>
          <w:szCs w:val="28"/>
        </w:rPr>
        <w:t xml:space="preserve">, lo que ha derivado en diversos grados de resistencia del </w:t>
      </w:r>
      <w:r w:rsidRPr="00B82ECD">
        <w:rPr>
          <w:rFonts w:ascii="Arial" w:hAnsi="Arial" w:cs="Arial"/>
          <w:i/>
          <w:sz w:val="28"/>
          <w:szCs w:val="28"/>
        </w:rPr>
        <w:t xml:space="preserve">P. </w:t>
      </w:r>
      <w:proofErr w:type="spellStart"/>
      <w:r w:rsidRPr="00B82ECD">
        <w:rPr>
          <w:rFonts w:ascii="Arial" w:hAnsi="Arial" w:cs="Arial"/>
          <w:i/>
          <w:sz w:val="28"/>
          <w:szCs w:val="28"/>
        </w:rPr>
        <w:t>acnes</w:t>
      </w:r>
      <w:proofErr w:type="spellEnd"/>
      <w:r w:rsidRPr="00416E2E">
        <w:rPr>
          <w:rFonts w:ascii="Arial" w:hAnsi="Arial" w:cs="Arial"/>
          <w:sz w:val="28"/>
          <w:szCs w:val="28"/>
        </w:rPr>
        <w:t xml:space="preserve"> (dependiendo del área geográfica explorada). El daño colateral que se establece </w:t>
      </w:r>
      <w:r w:rsidR="00940959" w:rsidRPr="00416E2E">
        <w:rPr>
          <w:rFonts w:ascii="Arial" w:hAnsi="Arial" w:cs="Arial"/>
          <w:sz w:val="28"/>
          <w:szCs w:val="28"/>
        </w:rPr>
        <w:t xml:space="preserve"> </w:t>
      </w:r>
      <w:r w:rsidRPr="00416E2E">
        <w:rPr>
          <w:rFonts w:ascii="Arial" w:hAnsi="Arial" w:cs="Arial"/>
          <w:sz w:val="28"/>
          <w:szCs w:val="28"/>
        </w:rPr>
        <w:t>en el microbioma durante la administración prolongada de un antibiótico, siempre debe  estar presente en la mente del prescriptor, ya que se altera la flo</w:t>
      </w:r>
      <w:r w:rsidR="00940959" w:rsidRPr="00416E2E">
        <w:rPr>
          <w:rFonts w:ascii="Arial" w:hAnsi="Arial" w:cs="Arial"/>
          <w:sz w:val="28"/>
          <w:szCs w:val="28"/>
        </w:rPr>
        <w:t>ra habitual y facilita la apari</w:t>
      </w:r>
      <w:r w:rsidRPr="00416E2E">
        <w:rPr>
          <w:rFonts w:ascii="Arial" w:hAnsi="Arial" w:cs="Arial"/>
          <w:sz w:val="28"/>
          <w:szCs w:val="28"/>
        </w:rPr>
        <w:t>ción de cepas bacterianas resistentes tanto en la piel como en otros nichos orgánicos. Hay datos que revelan que el uso de</w:t>
      </w:r>
      <w:r w:rsidR="00940959" w:rsidRPr="00416E2E">
        <w:rPr>
          <w:rFonts w:ascii="Arial" w:hAnsi="Arial" w:cs="Arial"/>
          <w:sz w:val="28"/>
          <w:szCs w:val="28"/>
        </w:rPr>
        <w:t xml:space="preserve"> antibióticos orales por los pe</w:t>
      </w:r>
      <w:r w:rsidRPr="00416E2E">
        <w:rPr>
          <w:rFonts w:ascii="Arial" w:hAnsi="Arial" w:cs="Arial"/>
          <w:sz w:val="28"/>
          <w:szCs w:val="28"/>
        </w:rPr>
        <w:t>riodos habituales en casos como acné inflamatorio, puede modificar la flora intestinal hasta por dos años, antes de recuperar la totalidad del microbioma “normal”, es d</w:t>
      </w:r>
      <w:r w:rsidR="00940959" w:rsidRPr="00416E2E">
        <w:rPr>
          <w:rFonts w:ascii="Arial" w:hAnsi="Arial" w:cs="Arial"/>
          <w:sz w:val="28"/>
          <w:szCs w:val="28"/>
        </w:rPr>
        <w:t>ecir: debemos estar cons</w:t>
      </w:r>
      <w:r w:rsidRPr="00416E2E">
        <w:rPr>
          <w:rFonts w:ascii="Arial" w:hAnsi="Arial" w:cs="Arial"/>
          <w:sz w:val="28"/>
          <w:szCs w:val="28"/>
        </w:rPr>
        <w:t xml:space="preserve">cientes </w:t>
      </w:r>
      <w:r w:rsidR="00940959" w:rsidRPr="00416E2E">
        <w:rPr>
          <w:rFonts w:ascii="Arial" w:hAnsi="Arial" w:cs="Arial"/>
          <w:sz w:val="28"/>
          <w:szCs w:val="28"/>
        </w:rPr>
        <w:t>del impacto ecológico de la uti</w:t>
      </w:r>
      <w:r w:rsidRPr="00416E2E">
        <w:rPr>
          <w:rFonts w:ascii="Arial" w:hAnsi="Arial" w:cs="Arial"/>
          <w:sz w:val="28"/>
          <w:szCs w:val="28"/>
        </w:rPr>
        <w:t xml:space="preserve">lización de antibióticos, tanto por vía tópica como sistémica, y llevar a cabo un uso más racional de los mismos. </w:t>
      </w:r>
    </w:p>
    <w:p w:rsidR="00A7510F" w:rsidRPr="00416E2E" w:rsidRDefault="00A7510F" w:rsidP="00416E2E">
      <w:pPr>
        <w:pStyle w:val="NormalWeb"/>
        <w:jc w:val="both"/>
        <w:rPr>
          <w:rFonts w:ascii="Arial" w:hAnsi="Arial" w:cs="Arial"/>
          <w:sz w:val="28"/>
          <w:szCs w:val="28"/>
        </w:rPr>
      </w:pPr>
      <w:r w:rsidRPr="00416E2E">
        <w:rPr>
          <w:rFonts w:ascii="Arial" w:hAnsi="Arial" w:cs="Arial"/>
          <w:sz w:val="28"/>
          <w:szCs w:val="28"/>
        </w:rPr>
        <w:t>Los pacientes con acné demuestran por ejemplo una mayor frecuencia de infecci</w:t>
      </w:r>
      <w:r w:rsidR="00940959" w:rsidRPr="00416E2E">
        <w:rPr>
          <w:rFonts w:ascii="Arial" w:hAnsi="Arial" w:cs="Arial"/>
          <w:sz w:val="28"/>
          <w:szCs w:val="28"/>
        </w:rPr>
        <w:t>ones respiratorias altas y colo</w:t>
      </w:r>
      <w:r w:rsidRPr="00416E2E">
        <w:rPr>
          <w:rFonts w:ascii="Arial" w:hAnsi="Arial" w:cs="Arial"/>
          <w:sz w:val="28"/>
          <w:szCs w:val="28"/>
        </w:rPr>
        <w:t>nizació</w:t>
      </w:r>
      <w:r w:rsidR="00940959" w:rsidRPr="00416E2E">
        <w:rPr>
          <w:rFonts w:ascii="Arial" w:hAnsi="Arial" w:cs="Arial"/>
          <w:sz w:val="28"/>
          <w:szCs w:val="28"/>
        </w:rPr>
        <w:t xml:space="preserve">n de cepas resistentes de </w:t>
      </w:r>
      <w:proofErr w:type="spellStart"/>
      <w:r w:rsidR="00940959" w:rsidRPr="00416E2E">
        <w:rPr>
          <w:rFonts w:ascii="Arial" w:hAnsi="Arial" w:cs="Arial"/>
          <w:i/>
          <w:sz w:val="28"/>
          <w:szCs w:val="28"/>
        </w:rPr>
        <w:t>Strep</w:t>
      </w:r>
      <w:r w:rsidRPr="00416E2E">
        <w:rPr>
          <w:rFonts w:ascii="Arial" w:hAnsi="Arial" w:cs="Arial"/>
          <w:i/>
          <w:sz w:val="28"/>
          <w:szCs w:val="28"/>
        </w:rPr>
        <w:t>tococcus</w:t>
      </w:r>
      <w:proofErr w:type="spellEnd"/>
      <w:r w:rsidRPr="00416E2E">
        <w:rPr>
          <w:rFonts w:ascii="Arial" w:hAnsi="Arial" w:cs="Arial"/>
          <w:i/>
          <w:sz w:val="28"/>
          <w:szCs w:val="28"/>
        </w:rPr>
        <w:t xml:space="preserve"> </w:t>
      </w:r>
      <w:proofErr w:type="spellStart"/>
      <w:r w:rsidRPr="00416E2E">
        <w:rPr>
          <w:rFonts w:ascii="Arial" w:hAnsi="Arial" w:cs="Arial"/>
          <w:i/>
          <w:sz w:val="28"/>
          <w:szCs w:val="28"/>
        </w:rPr>
        <w:t>pyogenes</w:t>
      </w:r>
      <w:proofErr w:type="spellEnd"/>
      <w:r w:rsidRPr="00416E2E">
        <w:rPr>
          <w:rFonts w:ascii="Arial" w:hAnsi="Arial" w:cs="Arial"/>
          <w:sz w:val="28"/>
          <w:szCs w:val="28"/>
        </w:rPr>
        <w:t xml:space="preserve"> y </w:t>
      </w:r>
      <w:proofErr w:type="spellStart"/>
      <w:r w:rsidRPr="00416E2E">
        <w:rPr>
          <w:rFonts w:ascii="Arial" w:hAnsi="Arial" w:cs="Arial"/>
          <w:i/>
          <w:sz w:val="28"/>
          <w:szCs w:val="28"/>
        </w:rPr>
        <w:t>Staphylococcus</w:t>
      </w:r>
      <w:proofErr w:type="spellEnd"/>
      <w:r w:rsidRPr="00416E2E">
        <w:rPr>
          <w:rFonts w:ascii="Arial" w:hAnsi="Arial" w:cs="Arial"/>
          <w:i/>
          <w:sz w:val="28"/>
          <w:szCs w:val="28"/>
        </w:rPr>
        <w:t xml:space="preserve"> </w:t>
      </w:r>
      <w:proofErr w:type="spellStart"/>
      <w:r w:rsidRPr="00416E2E">
        <w:rPr>
          <w:rFonts w:ascii="Arial" w:hAnsi="Arial" w:cs="Arial"/>
          <w:i/>
          <w:sz w:val="28"/>
          <w:szCs w:val="28"/>
        </w:rPr>
        <w:t>aureus</w:t>
      </w:r>
      <w:proofErr w:type="spellEnd"/>
      <w:r w:rsidRPr="00416E2E">
        <w:rPr>
          <w:rFonts w:ascii="Arial" w:hAnsi="Arial" w:cs="Arial"/>
          <w:sz w:val="28"/>
          <w:szCs w:val="28"/>
        </w:rPr>
        <w:t xml:space="preserve"> en la </w:t>
      </w:r>
      <w:proofErr w:type="spellStart"/>
      <w:r w:rsidRPr="00416E2E">
        <w:rPr>
          <w:rFonts w:ascii="Arial" w:hAnsi="Arial" w:cs="Arial"/>
          <w:sz w:val="28"/>
          <w:szCs w:val="28"/>
        </w:rPr>
        <w:t>orofaringe</w:t>
      </w:r>
      <w:proofErr w:type="spellEnd"/>
      <w:r w:rsidRPr="00416E2E">
        <w:rPr>
          <w:rFonts w:ascii="Arial" w:hAnsi="Arial" w:cs="Arial"/>
          <w:sz w:val="28"/>
          <w:szCs w:val="28"/>
        </w:rPr>
        <w:t>, cuando ha habido tratamientos prolongados con antibióticos sistémicos o tópicos. De acuer</w:t>
      </w:r>
      <w:r w:rsidR="00940959" w:rsidRPr="00416E2E">
        <w:rPr>
          <w:rFonts w:ascii="Arial" w:hAnsi="Arial" w:cs="Arial"/>
          <w:sz w:val="28"/>
          <w:szCs w:val="28"/>
        </w:rPr>
        <w:t>do a algunos estudios, tres fac</w:t>
      </w:r>
      <w:r w:rsidRPr="00416E2E">
        <w:rPr>
          <w:rFonts w:ascii="Arial" w:hAnsi="Arial" w:cs="Arial"/>
          <w:sz w:val="28"/>
          <w:szCs w:val="28"/>
        </w:rPr>
        <w:t xml:space="preserve">tores están asociados con el aumento de RBA en este padecimiento: mayor edad de los pacientes, mayor duración de la enfermedad y antecedentes de tratamientos prolongados (mayor exposición crónica a los antibióticos). En España el porcentaje de </w:t>
      </w:r>
      <w:r w:rsidRPr="00416E2E">
        <w:rPr>
          <w:rFonts w:ascii="Arial" w:hAnsi="Arial" w:cs="Arial"/>
          <w:sz w:val="28"/>
          <w:szCs w:val="28"/>
        </w:rPr>
        <w:lastRenderedPageBreak/>
        <w:t xml:space="preserve">cepas resistentes a antibióticos tópicos para </w:t>
      </w:r>
      <w:r w:rsidRPr="00B82ECD">
        <w:rPr>
          <w:rFonts w:ascii="Arial" w:hAnsi="Arial" w:cs="Arial"/>
          <w:i/>
          <w:sz w:val="28"/>
          <w:szCs w:val="28"/>
        </w:rPr>
        <w:t xml:space="preserve">P. </w:t>
      </w:r>
      <w:proofErr w:type="spellStart"/>
      <w:r w:rsidRPr="00B82ECD">
        <w:rPr>
          <w:rFonts w:ascii="Arial" w:hAnsi="Arial" w:cs="Arial"/>
          <w:i/>
          <w:sz w:val="28"/>
          <w:szCs w:val="28"/>
        </w:rPr>
        <w:t>acnes</w:t>
      </w:r>
      <w:proofErr w:type="spellEnd"/>
      <w:r w:rsidRPr="00416E2E">
        <w:rPr>
          <w:rFonts w:ascii="Arial" w:hAnsi="Arial" w:cs="Arial"/>
          <w:sz w:val="28"/>
          <w:szCs w:val="28"/>
        </w:rPr>
        <w:t xml:space="preserve"> es de 50 % para </w:t>
      </w:r>
      <w:proofErr w:type="spellStart"/>
      <w:r w:rsidRPr="00416E2E">
        <w:rPr>
          <w:rFonts w:ascii="Arial" w:hAnsi="Arial" w:cs="Arial"/>
          <w:sz w:val="28"/>
          <w:szCs w:val="28"/>
        </w:rPr>
        <w:t>clindamicina</w:t>
      </w:r>
      <w:proofErr w:type="spellEnd"/>
      <w:r w:rsidRPr="00416E2E">
        <w:rPr>
          <w:rFonts w:ascii="Arial" w:hAnsi="Arial" w:cs="Arial"/>
          <w:sz w:val="28"/>
          <w:szCs w:val="28"/>
        </w:rPr>
        <w:t xml:space="preserve"> y 90 % p</w:t>
      </w:r>
      <w:r w:rsidR="00940959" w:rsidRPr="00416E2E">
        <w:rPr>
          <w:rFonts w:ascii="Arial" w:hAnsi="Arial" w:cs="Arial"/>
          <w:sz w:val="28"/>
          <w:szCs w:val="28"/>
        </w:rPr>
        <w:t xml:space="preserve">ara </w:t>
      </w:r>
      <w:proofErr w:type="spellStart"/>
      <w:r w:rsidR="00940959" w:rsidRPr="00416E2E">
        <w:rPr>
          <w:rFonts w:ascii="Arial" w:hAnsi="Arial" w:cs="Arial"/>
          <w:sz w:val="28"/>
          <w:szCs w:val="28"/>
        </w:rPr>
        <w:t>eritomicina</w:t>
      </w:r>
      <w:proofErr w:type="spellEnd"/>
      <w:r w:rsidR="00940959" w:rsidRPr="00416E2E">
        <w:rPr>
          <w:rFonts w:ascii="Arial" w:hAnsi="Arial" w:cs="Arial"/>
          <w:sz w:val="28"/>
          <w:szCs w:val="28"/>
        </w:rPr>
        <w:t>; en Estados Uni</w:t>
      </w:r>
      <w:r w:rsidRPr="00416E2E">
        <w:rPr>
          <w:rFonts w:ascii="Arial" w:hAnsi="Arial" w:cs="Arial"/>
          <w:sz w:val="28"/>
          <w:szCs w:val="28"/>
        </w:rPr>
        <w:t>dos de A</w:t>
      </w:r>
      <w:r w:rsidR="00940959" w:rsidRPr="00416E2E">
        <w:rPr>
          <w:rFonts w:ascii="Arial" w:hAnsi="Arial" w:cs="Arial"/>
          <w:sz w:val="28"/>
          <w:szCs w:val="28"/>
        </w:rPr>
        <w:t>mérica la resistencia antibióti</w:t>
      </w:r>
      <w:r w:rsidRPr="00416E2E">
        <w:rPr>
          <w:rFonts w:ascii="Arial" w:hAnsi="Arial" w:cs="Arial"/>
          <w:sz w:val="28"/>
          <w:szCs w:val="28"/>
        </w:rPr>
        <w:t>ca sistémica es de 63 % par</w:t>
      </w:r>
      <w:r w:rsidR="00940959" w:rsidRPr="00416E2E">
        <w:rPr>
          <w:rFonts w:ascii="Arial" w:hAnsi="Arial" w:cs="Arial"/>
          <w:sz w:val="28"/>
          <w:szCs w:val="28"/>
        </w:rPr>
        <w:t xml:space="preserve">a </w:t>
      </w:r>
      <w:proofErr w:type="spellStart"/>
      <w:r w:rsidR="00940959" w:rsidRPr="00416E2E">
        <w:rPr>
          <w:rFonts w:ascii="Arial" w:hAnsi="Arial" w:cs="Arial"/>
          <w:sz w:val="28"/>
          <w:szCs w:val="28"/>
        </w:rPr>
        <w:t>oxitetraci</w:t>
      </w:r>
      <w:r w:rsidRPr="00416E2E">
        <w:rPr>
          <w:rFonts w:ascii="Arial" w:hAnsi="Arial" w:cs="Arial"/>
          <w:sz w:val="28"/>
          <w:szCs w:val="28"/>
        </w:rPr>
        <w:t>clina</w:t>
      </w:r>
      <w:proofErr w:type="spellEnd"/>
      <w:r w:rsidRPr="00416E2E">
        <w:rPr>
          <w:rFonts w:ascii="Arial" w:hAnsi="Arial" w:cs="Arial"/>
          <w:sz w:val="28"/>
          <w:szCs w:val="28"/>
        </w:rPr>
        <w:t xml:space="preserve"> y 57 % para </w:t>
      </w:r>
      <w:proofErr w:type="spellStart"/>
      <w:r w:rsidRPr="00416E2E">
        <w:rPr>
          <w:rFonts w:ascii="Arial" w:hAnsi="Arial" w:cs="Arial"/>
          <w:sz w:val="28"/>
          <w:szCs w:val="28"/>
        </w:rPr>
        <w:t>doxiciclina</w:t>
      </w:r>
      <w:proofErr w:type="spellEnd"/>
      <w:r w:rsidRPr="00416E2E">
        <w:rPr>
          <w:rFonts w:ascii="Arial" w:hAnsi="Arial" w:cs="Arial"/>
          <w:sz w:val="28"/>
          <w:szCs w:val="28"/>
        </w:rPr>
        <w:t>. E</w:t>
      </w:r>
      <w:r w:rsidR="00940959" w:rsidRPr="00416E2E">
        <w:rPr>
          <w:rFonts w:ascii="Arial" w:hAnsi="Arial" w:cs="Arial"/>
          <w:sz w:val="28"/>
          <w:szCs w:val="28"/>
        </w:rPr>
        <w:t>n Latinoamérica, países como Co</w:t>
      </w:r>
      <w:r w:rsidRPr="00416E2E">
        <w:rPr>
          <w:rFonts w:ascii="Arial" w:hAnsi="Arial" w:cs="Arial"/>
          <w:sz w:val="28"/>
          <w:szCs w:val="28"/>
        </w:rPr>
        <w:t xml:space="preserve">lombia, han reportado cepas de P. </w:t>
      </w:r>
      <w:proofErr w:type="spellStart"/>
      <w:r w:rsidRPr="00416E2E">
        <w:rPr>
          <w:rFonts w:ascii="Arial" w:hAnsi="Arial" w:cs="Arial"/>
          <w:sz w:val="28"/>
          <w:szCs w:val="28"/>
        </w:rPr>
        <w:t>acnes</w:t>
      </w:r>
      <w:proofErr w:type="spellEnd"/>
      <w:r w:rsidRPr="00416E2E">
        <w:rPr>
          <w:rFonts w:ascii="Arial" w:hAnsi="Arial" w:cs="Arial"/>
          <w:sz w:val="28"/>
          <w:szCs w:val="28"/>
        </w:rPr>
        <w:t xml:space="preserve"> resistentes a los antibióticos de 15 y 35 % para </w:t>
      </w:r>
      <w:proofErr w:type="spellStart"/>
      <w:r w:rsidRPr="00416E2E">
        <w:rPr>
          <w:rFonts w:ascii="Arial" w:hAnsi="Arial" w:cs="Arial"/>
          <w:sz w:val="28"/>
          <w:szCs w:val="28"/>
        </w:rPr>
        <w:t>clindamicina</w:t>
      </w:r>
      <w:proofErr w:type="spellEnd"/>
      <w:r w:rsidRPr="00416E2E">
        <w:rPr>
          <w:rFonts w:ascii="Arial" w:hAnsi="Arial" w:cs="Arial"/>
          <w:sz w:val="28"/>
          <w:szCs w:val="28"/>
        </w:rPr>
        <w:t xml:space="preserve"> y </w:t>
      </w:r>
      <w:proofErr w:type="spellStart"/>
      <w:r w:rsidRPr="00416E2E">
        <w:rPr>
          <w:rFonts w:ascii="Arial" w:hAnsi="Arial" w:cs="Arial"/>
          <w:sz w:val="28"/>
          <w:szCs w:val="28"/>
        </w:rPr>
        <w:t>eritromicina</w:t>
      </w:r>
      <w:proofErr w:type="spellEnd"/>
      <w:r w:rsidRPr="00416E2E">
        <w:rPr>
          <w:rFonts w:ascii="Arial" w:hAnsi="Arial" w:cs="Arial"/>
          <w:sz w:val="28"/>
          <w:szCs w:val="28"/>
        </w:rPr>
        <w:t xml:space="preserve"> tópica, así como 8 y 9 % de cepas resistentes para </w:t>
      </w:r>
      <w:proofErr w:type="spellStart"/>
      <w:r w:rsidRPr="00416E2E">
        <w:rPr>
          <w:rFonts w:ascii="Arial" w:hAnsi="Arial" w:cs="Arial"/>
          <w:sz w:val="28"/>
          <w:szCs w:val="28"/>
        </w:rPr>
        <w:t>oxitetraciclina</w:t>
      </w:r>
      <w:proofErr w:type="spellEnd"/>
      <w:r w:rsidRPr="00416E2E">
        <w:rPr>
          <w:rFonts w:ascii="Arial" w:hAnsi="Arial" w:cs="Arial"/>
          <w:sz w:val="28"/>
          <w:szCs w:val="28"/>
        </w:rPr>
        <w:t xml:space="preserve"> y </w:t>
      </w:r>
      <w:proofErr w:type="spellStart"/>
      <w:r w:rsidRPr="00416E2E">
        <w:rPr>
          <w:rFonts w:ascii="Arial" w:hAnsi="Arial" w:cs="Arial"/>
          <w:sz w:val="28"/>
          <w:szCs w:val="28"/>
        </w:rPr>
        <w:t>doxiciclina</w:t>
      </w:r>
      <w:proofErr w:type="spellEnd"/>
      <w:r w:rsidRPr="00416E2E">
        <w:rPr>
          <w:rFonts w:ascii="Arial" w:hAnsi="Arial" w:cs="Arial"/>
          <w:sz w:val="28"/>
          <w:szCs w:val="28"/>
        </w:rPr>
        <w:t xml:space="preserve"> en cuanto a antibióticos orales. También se ha encontrado un porcentaje de cepas resistentes a </w:t>
      </w:r>
      <w:proofErr w:type="spellStart"/>
      <w:r w:rsidRPr="00416E2E">
        <w:rPr>
          <w:rFonts w:ascii="Arial" w:hAnsi="Arial" w:cs="Arial"/>
          <w:sz w:val="28"/>
          <w:szCs w:val="28"/>
        </w:rPr>
        <w:t>sulfametoxazol</w:t>
      </w:r>
      <w:proofErr w:type="spellEnd"/>
      <w:r w:rsidRPr="00416E2E">
        <w:rPr>
          <w:rFonts w:ascii="Arial" w:hAnsi="Arial" w:cs="Arial"/>
          <w:sz w:val="28"/>
          <w:szCs w:val="28"/>
        </w:rPr>
        <w:t xml:space="preserve">/ </w:t>
      </w:r>
      <w:proofErr w:type="spellStart"/>
      <w:r w:rsidRPr="00416E2E">
        <w:rPr>
          <w:rFonts w:ascii="Arial" w:hAnsi="Arial" w:cs="Arial"/>
          <w:sz w:val="28"/>
          <w:szCs w:val="28"/>
        </w:rPr>
        <w:t>trimetoprim</w:t>
      </w:r>
      <w:proofErr w:type="spellEnd"/>
      <w:r w:rsidRPr="00416E2E">
        <w:rPr>
          <w:rFonts w:ascii="Arial" w:hAnsi="Arial" w:cs="Arial"/>
          <w:sz w:val="28"/>
          <w:szCs w:val="28"/>
        </w:rPr>
        <w:t xml:space="preserve"> en pacientes con acné en el norte de México, predominando una tasa de resistencia de 46 % para </w:t>
      </w:r>
      <w:proofErr w:type="spellStart"/>
      <w:r w:rsidRPr="00416E2E">
        <w:rPr>
          <w:rFonts w:ascii="Arial" w:hAnsi="Arial" w:cs="Arial"/>
          <w:sz w:val="28"/>
          <w:szCs w:val="28"/>
        </w:rPr>
        <w:t>azitromicina</w:t>
      </w:r>
      <w:proofErr w:type="spellEnd"/>
      <w:r w:rsidRPr="00416E2E">
        <w:rPr>
          <w:rFonts w:ascii="Arial" w:hAnsi="Arial" w:cs="Arial"/>
          <w:sz w:val="28"/>
          <w:szCs w:val="28"/>
        </w:rPr>
        <w:t xml:space="preserve"> y </w:t>
      </w:r>
      <w:proofErr w:type="spellStart"/>
      <w:r w:rsidRPr="00416E2E">
        <w:rPr>
          <w:rFonts w:ascii="Arial" w:hAnsi="Arial" w:cs="Arial"/>
          <w:sz w:val="28"/>
          <w:szCs w:val="28"/>
        </w:rPr>
        <w:t>eritromicina</w:t>
      </w:r>
      <w:proofErr w:type="spellEnd"/>
      <w:r w:rsidRPr="00416E2E">
        <w:rPr>
          <w:rFonts w:ascii="Arial" w:hAnsi="Arial" w:cs="Arial"/>
          <w:sz w:val="28"/>
          <w:szCs w:val="28"/>
        </w:rPr>
        <w:t xml:space="preserve">, a diferencia de 12.5 % en Chile, lo cual demuestra que la problemática varía dependiendo de la geografía. Las tasas de resistencia a la </w:t>
      </w:r>
      <w:proofErr w:type="spellStart"/>
      <w:r w:rsidRPr="00416E2E">
        <w:rPr>
          <w:rFonts w:ascii="Arial" w:hAnsi="Arial" w:cs="Arial"/>
          <w:sz w:val="28"/>
          <w:szCs w:val="28"/>
        </w:rPr>
        <w:t>doxiciclina</w:t>
      </w:r>
      <w:proofErr w:type="spellEnd"/>
      <w:r w:rsidRPr="00416E2E">
        <w:rPr>
          <w:rFonts w:ascii="Arial" w:hAnsi="Arial" w:cs="Arial"/>
          <w:sz w:val="28"/>
          <w:szCs w:val="28"/>
        </w:rPr>
        <w:t xml:space="preserve"> y otras tetraciclinas orales se mantienen bajas en México, sin encontrase más estudios en la literatura con respect</w:t>
      </w:r>
      <w:r w:rsidR="00940959" w:rsidRPr="00416E2E">
        <w:rPr>
          <w:rFonts w:ascii="Arial" w:hAnsi="Arial" w:cs="Arial"/>
          <w:sz w:val="28"/>
          <w:szCs w:val="28"/>
        </w:rPr>
        <w:t>o a la RBA en acné en otros paí</w:t>
      </w:r>
      <w:r w:rsidRPr="00416E2E">
        <w:rPr>
          <w:rFonts w:ascii="Arial" w:hAnsi="Arial" w:cs="Arial"/>
          <w:sz w:val="28"/>
          <w:szCs w:val="28"/>
        </w:rPr>
        <w:t xml:space="preserve">ses de Latinoamérica. En el caso del acné, además de campañas de utilización racional de los </w:t>
      </w:r>
      <w:r w:rsidR="00416E2E" w:rsidRPr="00416E2E">
        <w:rPr>
          <w:rFonts w:ascii="Arial" w:hAnsi="Arial" w:cs="Arial"/>
          <w:sz w:val="28"/>
          <w:szCs w:val="28"/>
        </w:rPr>
        <w:t>antibióticos</w:t>
      </w:r>
      <w:r w:rsidRPr="00416E2E">
        <w:rPr>
          <w:rFonts w:ascii="Arial" w:hAnsi="Arial" w:cs="Arial"/>
          <w:sz w:val="28"/>
          <w:szCs w:val="28"/>
        </w:rPr>
        <w:t xml:space="preserve">, la estrategia debe basarse en la difusión de conceptos fisiopatológicos (ya que no es una enfermedad infecciosa como tal), destacando el papel inmunomodulador de los antibióticos sobre el sistema inmune innato. Se debe hacer énfasis en el protagonismo del comedón y </w:t>
      </w:r>
      <w:proofErr w:type="spellStart"/>
      <w:r w:rsidRPr="00416E2E">
        <w:rPr>
          <w:rFonts w:ascii="Arial" w:hAnsi="Arial" w:cs="Arial"/>
          <w:sz w:val="28"/>
          <w:szCs w:val="28"/>
        </w:rPr>
        <w:t>microcomedón</w:t>
      </w:r>
      <w:proofErr w:type="spellEnd"/>
      <w:r w:rsidRPr="00416E2E">
        <w:rPr>
          <w:rFonts w:ascii="Arial" w:hAnsi="Arial" w:cs="Arial"/>
          <w:sz w:val="28"/>
          <w:szCs w:val="28"/>
        </w:rPr>
        <w:t xml:space="preserve"> como elementos primordiales en el origen del padecimiento, debiendo indicarse drogas con capacidad </w:t>
      </w:r>
      <w:proofErr w:type="spellStart"/>
      <w:r w:rsidRPr="00416E2E">
        <w:rPr>
          <w:rFonts w:ascii="Arial" w:hAnsi="Arial" w:cs="Arial"/>
          <w:sz w:val="28"/>
          <w:szCs w:val="28"/>
        </w:rPr>
        <w:t>comedolítica</w:t>
      </w:r>
      <w:proofErr w:type="spellEnd"/>
      <w:r w:rsidRPr="00416E2E">
        <w:rPr>
          <w:rFonts w:ascii="Arial" w:hAnsi="Arial" w:cs="Arial"/>
          <w:sz w:val="28"/>
          <w:szCs w:val="28"/>
        </w:rPr>
        <w:t xml:space="preserve"> y </w:t>
      </w:r>
      <w:proofErr w:type="spellStart"/>
      <w:r w:rsidRPr="00416E2E">
        <w:rPr>
          <w:rFonts w:ascii="Arial" w:hAnsi="Arial" w:cs="Arial"/>
          <w:sz w:val="28"/>
          <w:szCs w:val="28"/>
        </w:rPr>
        <w:t>anticomedogénica</w:t>
      </w:r>
      <w:proofErr w:type="spellEnd"/>
      <w:r w:rsidRPr="00416E2E">
        <w:rPr>
          <w:rFonts w:ascii="Arial" w:hAnsi="Arial" w:cs="Arial"/>
          <w:sz w:val="28"/>
          <w:szCs w:val="28"/>
        </w:rPr>
        <w:t xml:space="preserve"> (</w:t>
      </w:r>
      <w:proofErr w:type="spellStart"/>
      <w:r w:rsidRPr="00416E2E">
        <w:rPr>
          <w:rFonts w:ascii="Arial" w:hAnsi="Arial" w:cs="Arial"/>
          <w:sz w:val="28"/>
          <w:szCs w:val="28"/>
        </w:rPr>
        <w:t>retinoides</w:t>
      </w:r>
      <w:proofErr w:type="spellEnd"/>
      <w:r w:rsidRPr="00416E2E">
        <w:rPr>
          <w:rFonts w:ascii="Arial" w:hAnsi="Arial" w:cs="Arial"/>
          <w:sz w:val="28"/>
          <w:szCs w:val="28"/>
        </w:rPr>
        <w:t xml:space="preserve">) en asociación con el peróxido de </w:t>
      </w:r>
      <w:proofErr w:type="spellStart"/>
      <w:r w:rsidRPr="00416E2E">
        <w:rPr>
          <w:rFonts w:ascii="Arial" w:hAnsi="Arial" w:cs="Arial"/>
          <w:sz w:val="28"/>
          <w:szCs w:val="28"/>
        </w:rPr>
        <w:t>benzoilo</w:t>
      </w:r>
      <w:proofErr w:type="spellEnd"/>
      <w:r w:rsidRPr="00416E2E">
        <w:rPr>
          <w:rFonts w:ascii="Arial" w:hAnsi="Arial" w:cs="Arial"/>
          <w:sz w:val="28"/>
          <w:szCs w:val="28"/>
        </w:rPr>
        <w:t xml:space="preserve"> (PBO), agente antimicrobiano sin riesgo de promover resistencia bacteriana debido a su mecanismo de acción. En cuanto a la terapia oral, el uso de tetraciclinas de segunda generación por periodos limitados pare-ce actualmente lo más adecuado.</w:t>
      </w:r>
    </w:p>
    <w:p w:rsidR="00A7510F" w:rsidRPr="00416E2E" w:rsidRDefault="00416E2E" w:rsidP="00416E2E">
      <w:pPr>
        <w:pStyle w:val="NormalWeb"/>
        <w:jc w:val="both"/>
        <w:rPr>
          <w:rFonts w:ascii="Arial" w:hAnsi="Arial" w:cs="Arial"/>
          <w:b/>
          <w:sz w:val="28"/>
          <w:szCs w:val="28"/>
        </w:rPr>
      </w:pPr>
      <w:r>
        <w:rPr>
          <w:rFonts w:ascii="Arial" w:hAnsi="Arial" w:cs="Arial"/>
          <w:b/>
          <w:sz w:val="28"/>
          <w:szCs w:val="28"/>
        </w:rPr>
        <w:t>R</w:t>
      </w:r>
      <w:r w:rsidRPr="00416E2E">
        <w:rPr>
          <w:rFonts w:ascii="Arial" w:hAnsi="Arial" w:cs="Arial"/>
          <w:b/>
          <w:sz w:val="28"/>
          <w:szCs w:val="28"/>
        </w:rPr>
        <w:t xml:space="preserve">eflexiones acerca de la estrategia en </w:t>
      </w:r>
      <w:proofErr w:type="spellStart"/>
      <w:r w:rsidRPr="00416E2E">
        <w:rPr>
          <w:rFonts w:ascii="Arial" w:hAnsi="Arial" w:cs="Arial"/>
          <w:b/>
          <w:sz w:val="28"/>
          <w:szCs w:val="28"/>
        </w:rPr>
        <w:t>latinoamérica</w:t>
      </w:r>
      <w:proofErr w:type="spellEnd"/>
      <w:r w:rsidRPr="00416E2E">
        <w:rPr>
          <w:rFonts w:ascii="Arial" w:hAnsi="Arial" w:cs="Arial"/>
          <w:b/>
          <w:sz w:val="28"/>
          <w:szCs w:val="28"/>
        </w:rPr>
        <w:t xml:space="preserve"> para disminuir el fenómeno de la </w:t>
      </w:r>
      <w:r w:rsidRPr="00416E2E">
        <w:rPr>
          <w:rFonts w:ascii="Arial" w:hAnsi="Arial" w:cs="Arial"/>
          <w:b/>
          <w:sz w:val="32"/>
          <w:szCs w:val="28"/>
        </w:rPr>
        <w:t>RBA</w:t>
      </w:r>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t>Actualmente no hay pruebas contundentes de que el fracaso terapéutico en pacientes con acné esté relacionado con el fenómeno de la RBA, sin embargo el seguimiento del fenómeno debe basarse en estudios de vigilancia bacteriológica en poblaciones abiertas de diferentes latitudes y muestreos en pacientes con acné bajo pruebas de laboratorio</w:t>
      </w:r>
      <w:r w:rsidR="00940959" w:rsidRPr="00416E2E">
        <w:rPr>
          <w:rFonts w:ascii="Arial" w:eastAsia="Times New Roman" w:hAnsi="Arial" w:cs="Arial"/>
          <w:sz w:val="28"/>
          <w:szCs w:val="28"/>
          <w:lang w:val="es-ES" w:eastAsia="es-ES"/>
        </w:rPr>
        <w:t xml:space="preserve"> que permitan un diagnóstico mi</w:t>
      </w:r>
      <w:r w:rsidRPr="00416E2E">
        <w:rPr>
          <w:rFonts w:ascii="Arial" w:eastAsia="Times New Roman" w:hAnsi="Arial" w:cs="Arial"/>
          <w:sz w:val="28"/>
          <w:szCs w:val="28"/>
          <w:lang w:val="es-ES" w:eastAsia="es-ES"/>
        </w:rPr>
        <w:t xml:space="preserve">crobiológico y que incluya medición de la susceptibilidad a los antibióticos por parte del </w:t>
      </w:r>
      <w:r w:rsidRPr="00B82ECD">
        <w:rPr>
          <w:rFonts w:ascii="Arial" w:eastAsia="Times New Roman" w:hAnsi="Arial" w:cs="Arial"/>
          <w:i/>
          <w:sz w:val="28"/>
          <w:szCs w:val="28"/>
          <w:lang w:val="es-ES" w:eastAsia="es-ES"/>
        </w:rPr>
        <w:t xml:space="preserve">P. </w:t>
      </w:r>
      <w:proofErr w:type="spellStart"/>
      <w:r w:rsidRPr="00B82ECD">
        <w:rPr>
          <w:rFonts w:ascii="Arial" w:eastAsia="Times New Roman" w:hAnsi="Arial" w:cs="Arial"/>
          <w:i/>
          <w:sz w:val="28"/>
          <w:szCs w:val="28"/>
          <w:lang w:val="es-ES" w:eastAsia="es-ES"/>
        </w:rPr>
        <w:t>acnes</w:t>
      </w:r>
      <w:proofErr w:type="spellEnd"/>
      <w:r w:rsidRPr="00416E2E">
        <w:rPr>
          <w:rFonts w:ascii="Arial" w:eastAsia="Times New Roman" w:hAnsi="Arial" w:cs="Arial"/>
          <w:sz w:val="28"/>
          <w:szCs w:val="28"/>
          <w:lang w:val="es-ES" w:eastAsia="es-ES"/>
        </w:rPr>
        <w:t xml:space="preserve"> y otros gérmenes a nivel </w:t>
      </w:r>
      <w:proofErr w:type="spellStart"/>
      <w:r w:rsidRPr="00416E2E">
        <w:rPr>
          <w:rFonts w:ascii="Arial" w:eastAsia="Times New Roman" w:hAnsi="Arial" w:cs="Arial"/>
          <w:sz w:val="28"/>
          <w:szCs w:val="28"/>
          <w:lang w:val="es-ES" w:eastAsia="es-ES"/>
        </w:rPr>
        <w:t>orofaríngeo</w:t>
      </w:r>
      <w:proofErr w:type="spellEnd"/>
      <w:r w:rsidRPr="00416E2E">
        <w:rPr>
          <w:rFonts w:ascii="Arial" w:eastAsia="Times New Roman" w:hAnsi="Arial" w:cs="Arial"/>
          <w:sz w:val="28"/>
          <w:szCs w:val="28"/>
          <w:lang w:val="es-ES" w:eastAsia="es-ES"/>
        </w:rPr>
        <w:t xml:space="preserve">. </w:t>
      </w:r>
      <w:r w:rsidR="00940959" w:rsidRPr="00416E2E">
        <w:rPr>
          <w:rFonts w:ascii="Arial" w:eastAsia="Times New Roman" w:hAnsi="Arial" w:cs="Arial"/>
          <w:sz w:val="28"/>
          <w:szCs w:val="28"/>
          <w:lang w:val="es-ES" w:eastAsia="es-ES"/>
        </w:rPr>
        <w:t xml:space="preserve">  </w:t>
      </w:r>
      <w:r w:rsidRPr="00416E2E">
        <w:rPr>
          <w:rFonts w:ascii="Arial" w:eastAsia="Times New Roman" w:hAnsi="Arial" w:cs="Arial"/>
          <w:sz w:val="28"/>
          <w:szCs w:val="28"/>
          <w:lang w:val="es-ES" w:eastAsia="es-ES"/>
        </w:rPr>
        <w:t>Por otra parte deben articularse políticas de gestión y trab</w:t>
      </w:r>
      <w:r w:rsidR="00940959" w:rsidRPr="00416E2E">
        <w:rPr>
          <w:rFonts w:ascii="Arial" w:eastAsia="Times New Roman" w:hAnsi="Arial" w:cs="Arial"/>
          <w:sz w:val="28"/>
          <w:szCs w:val="28"/>
          <w:lang w:val="es-ES" w:eastAsia="es-ES"/>
        </w:rPr>
        <w:t>ajo conjunto para que las compa</w:t>
      </w:r>
      <w:r w:rsidRPr="00416E2E">
        <w:rPr>
          <w:rFonts w:ascii="Arial" w:eastAsia="Times New Roman" w:hAnsi="Arial" w:cs="Arial"/>
          <w:sz w:val="28"/>
          <w:szCs w:val="28"/>
          <w:lang w:val="es-ES" w:eastAsia="es-ES"/>
        </w:rPr>
        <w:t xml:space="preserve">ñías </w:t>
      </w:r>
      <w:r w:rsidRPr="00416E2E">
        <w:rPr>
          <w:rFonts w:ascii="Arial" w:eastAsia="Times New Roman" w:hAnsi="Arial" w:cs="Arial"/>
          <w:sz w:val="28"/>
          <w:szCs w:val="28"/>
          <w:lang w:val="es-ES" w:eastAsia="es-ES"/>
        </w:rPr>
        <w:lastRenderedPageBreak/>
        <w:t>farmacéu</w:t>
      </w:r>
      <w:r w:rsidR="00940959" w:rsidRPr="00416E2E">
        <w:rPr>
          <w:rFonts w:ascii="Arial" w:eastAsia="Times New Roman" w:hAnsi="Arial" w:cs="Arial"/>
          <w:sz w:val="28"/>
          <w:szCs w:val="28"/>
          <w:lang w:val="es-ES" w:eastAsia="es-ES"/>
        </w:rPr>
        <w:t>ticas continúen investigando mo</w:t>
      </w:r>
      <w:r w:rsidRPr="00416E2E">
        <w:rPr>
          <w:rFonts w:ascii="Arial" w:eastAsia="Times New Roman" w:hAnsi="Arial" w:cs="Arial"/>
          <w:sz w:val="28"/>
          <w:szCs w:val="28"/>
          <w:lang w:val="es-ES" w:eastAsia="es-ES"/>
        </w:rPr>
        <w:t>léculas y medicamentos innovadores</w:t>
      </w:r>
      <w:r w:rsidR="00B82ECD">
        <w:rPr>
          <w:rFonts w:ascii="Arial" w:eastAsia="Times New Roman" w:hAnsi="Arial" w:cs="Arial"/>
          <w:sz w:val="28"/>
          <w:szCs w:val="28"/>
          <w:lang w:val="es-ES" w:eastAsia="es-ES"/>
        </w:rPr>
        <w:t>,</w:t>
      </w:r>
      <w:r w:rsidRPr="00416E2E">
        <w:rPr>
          <w:rFonts w:ascii="Arial" w:eastAsia="Times New Roman" w:hAnsi="Arial" w:cs="Arial"/>
          <w:sz w:val="28"/>
          <w:szCs w:val="28"/>
          <w:lang w:val="es-ES" w:eastAsia="es-ES"/>
        </w:rPr>
        <w:t xml:space="preserve"> como vacunas y modificadores de la respuesta inmune, que sustituyan en el futuro a los antibióticos. Es labor del gobierno y autoridades de salud regular y medi</w:t>
      </w:r>
      <w:r w:rsidR="00940959" w:rsidRPr="00416E2E">
        <w:rPr>
          <w:rFonts w:ascii="Arial" w:eastAsia="Times New Roman" w:hAnsi="Arial" w:cs="Arial"/>
          <w:sz w:val="28"/>
          <w:szCs w:val="28"/>
          <w:lang w:val="es-ES" w:eastAsia="es-ES"/>
        </w:rPr>
        <w:t>r el impacto del uso de antibió</w:t>
      </w:r>
      <w:r w:rsidRPr="00416E2E">
        <w:rPr>
          <w:rFonts w:ascii="Arial" w:eastAsia="Times New Roman" w:hAnsi="Arial" w:cs="Arial"/>
          <w:sz w:val="28"/>
          <w:szCs w:val="28"/>
          <w:lang w:val="es-ES" w:eastAsia="es-ES"/>
        </w:rPr>
        <w:t>ticos en la crianza de animales para consumo humano y en el procesamiento de alimentos, con el objeto de desincentivar esta conducta. De forma esperanzadora, en países como México, Chile, Argentina, Brasil, Colombia, Venezuela y Perú ya se exige que la venta de antibióticos sea sólo con u</w:t>
      </w:r>
      <w:r w:rsidR="00940959" w:rsidRPr="00416E2E">
        <w:rPr>
          <w:rFonts w:ascii="Arial" w:eastAsia="Times New Roman" w:hAnsi="Arial" w:cs="Arial"/>
          <w:sz w:val="28"/>
          <w:szCs w:val="28"/>
          <w:lang w:val="es-ES" w:eastAsia="es-ES"/>
        </w:rPr>
        <w:t>na receta prescrita por un médi</w:t>
      </w:r>
      <w:r w:rsidRPr="00416E2E">
        <w:rPr>
          <w:rFonts w:ascii="Arial" w:eastAsia="Times New Roman" w:hAnsi="Arial" w:cs="Arial"/>
          <w:sz w:val="28"/>
          <w:szCs w:val="28"/>
          <w:lang w:val="es-ES" w:eastAsia="es-ES"/>
        </w:rPr>
        <w:t>co, sin embargo en países como Nicaragua y El Salvador aún es</w:t>
      </w:r>
      <w:r w:rsidR="00940959" w:rsidRPr="00416E2E">
        <w:rPr>
          <w:rFonts w:ascii="Arial" w:eastAsia="Times New Roman" w:hAnsi="Arial" w:cs="Arial"/>
          <w:sz w:val="28"/>
          <w:szCs w:val="28"/>
          <w:lang w:val="es-ES" w:eastAsia="es-ES"/>
        </w:rPr>
        <w:t xml:space="preserve"> posible la compra de antibióti</w:t>
      </w:r>
      <w:r w:rsidRPr="00416E2E">
        <w:rPr>
          <w:rFonts w:ascii="Arial" w:eastAsia="Times New Roman" w:hAnsi="Arial" w:cs="Arial"/>
          <w:sz w:val="28"/>
          <w:szCs w:val="28"/>
          <w:lang w:val="es-ES" w:eastAsia="es-ES"/>
        </w:rPr>
        <w:t xml:space="preserve">cos de forma libre sobre el mostrador (lo cual podría estar sucediendo en otras latitudes de Latinoamérica), desviación que debe prohibirse con la intervención gubernamental, ejecutando medidas políticas y de gestión necesarias para tal fin. Finalmente una problemática adicional es la ausencia de un control riguroso de copias farmacéuticas de antibióticos de mala calidad y baja eficacia, las cuales son comercializadas en Latinoamérica sin haber sido sometidas a ensayos clínicos adecuados y sin tamiz por los organismos regulatorios de los países en donde se venden, lo cual se traduce en respuestas sub- óptimas a nivel clínico. </w:t>
      </w:r>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t xml:space="preserve">Los patógenos a </w:t>
      </w:r>
      <w:proofErr w:type="gramStart"/>
      <w:r w:rsidRPr="00416E2E">
        <w:rPr>
          <w:rFonts w:ascii="Arial" w:eastAsia="Times New Roman" w:hAnsi="Arial" w:cs="Arial"/>
          <w:sz w:val="28"/>
          <w:szCs w:val="28"/>
          <w:lang w:val="es-ES" w:eastAsia="es-ES"/>
        </w:rPr>
        <w:t>nivel hospitalario y considerados</w:t>
      </w:r>
      <w:proofErr w:type="gramEnd"/>
      <w:r w:rsidRPr="00416E2E">
        <w:rPr>
          <w:rFonts w:ascii="Arial" w:eastAsia="Times New Roman" w:hAnsi="Arial" w:cs="Arial"/>
          <w:sz w:val="28"/>
          <w:szCs w:val="28"/>
          <w:lang w:val="es-ES" w:eastAsia="es-ES"/>
        </w:rPr>
        <w:t xml:space="preserve"> como “urgentes” para su control son: </w:t>
      </w:r>
    </w:p>
    <w:p w:rsidR="00A7510F" w:rsidRPr="00B82ECD" w:rsidRDefault="00A7510F" w:rsidP="00B82ECD">
      <w:pPr>
        <w:pStyle w:val="Prrafodelista"/>
        <w:numPr>
          <w:ilvl w:val="0"/>
          <w:numId w:val="1"/>
        </w:numPr>
        <w:spacing w:before="100" w:beforeAutospacing="1" w:after="100" w:afterAutospacing="1" w:line="240" w:lineRule="auto"/>
        <w:jc w:val="both"/>
        <w:rPr>
          <w:rFonts w:ascii="Arial" w:eastAsia="Times New Roman" w:hAnsi="Arial" w:cs="Arial"/>
          <w:sz w:val="28"/>
          <w:szCs w:val="28"/>
          <w:lang w:val="es-ES" w:eastAsia="es-ES"/>
        </w:rPr>
      </w:pPr>
      <w:proofErr w:type="spellStart"/>
      <w:r w:rsidRPr="00B82ECD">
        <w:rPr>
          <w:rFonts w:ascii="Arial" w:eastAsia="Times New Roman" w:hAnsi="Arial" w:cs="Arial"/>
          <w:sz w:val="28"/>
          <w:szCs w:val="28"/>
          <w:lang w:val="es-ES" w:eastAsia="es-ES"/>
        </w:rPr>
        <w:t>Enterobacterias</w:t>
      </w:r>
      <w:proofErr w:type="spellEnd"/>
      <w:r w:rsidRPr="00B82ECD">
        <w:rPr>
          <w:rFonts w:ascii="Arial" w:eastAsia="Times New Roman" w:hAnsi="Arial" w:cs="Arial"/>
          <w:sz w:val="28"/>
          <w:szCs w:val="28"/>
          <w:lang w:val="es-ES" w:eastAsia="es-ES"/>
        </w:rPr>
        <w:t xml:space="preserve"> productoras de </w:t>
      </w:r>
      <w:proofErr w:type="spellStart"/>
      <w:r w:rsidRPr="00B82ECD">
        <w:rPr>
          <w:rFonts w:ascii="Arial" w:eastAsia="Times New Roman" w:hAnsi="Arial" w:cs="Arial"/>
          <w:sz w:val="28"/>
          <w:szCs w:val="28"/>
          <w:lang w:val="es-ES" w:eastAsia="es-ES"/>
        </w:rPr>
        <w:t>carbapenemasa</w:t>
      </w:r>
      <w:proofErr w:type="spellEnd"/>
    </w:p>
    <w:p w:rsidR="00A7510F" w:rsidRPr="00B82ECD" w:rsidRDefault="00A7510F" w:rsidP="00B82ECD">
      <w:pPr>
        <w:pStyle w:val="Prrafodelista"/>
        <w:numPr>
          <w:ilvl w:val="0"/>
          <w:numId w:val="1"/>
        </w:numPr>
        <w:spacing w:before="100" w:beforeAutospacing="1" w:after="100" w:afterAutospacing="1" w:line="240" w:lineRule="auto"/>
        <w:jc w:val="both"/>
        <w:rPr>
          <w:rFonts w:ascii="Arial" w:eastAsia="Times New Roman" w:hAnsi="Arial" w:cs="Arial"/>
          <w:i/>
          <w:sz w:val="28"/>
          <w:szCs w:val="28"/>
          <w:lang w:val="es-ES" w:eastAsia="es-ES"/>
        </w:rPr>
      </w:pPr>
      <w:proofErr w:type="spellStart"/>
      <w:r w:rsidRPr="00B82ECD">
        <w:rPr>
          <w:rFonts w:ascii="Arial" w:eastAsia="Times New Roman" w:hAnsi="Arial" w:cs="Arial"/>
          <w:i/>
          <w:sz w:val="28"/>
          <w:szCs w:val="28"/>
          <w:lang w:val="es-ES" w:eastAsia="es-ES"/>
        </w:rPr>
        <w:t>Neisseria</w:t>
      </w:r>
      <w:proofErr w:type="spellEnd"/>
      <w:r w:rsidRPr="00B82ECD">
        <w:rPr>
          <w:rFonts w:ascii="Arial" w:eastAsia="Times New Roman" w:hAnsi="Arial" w:cs="Arial"/>
          <w:i/>
          <w:sz w:val="28"/>
          <w:szCs w:val="28"/>
          <w:lang w:val="es-ES" w:eastAsia="es-ES"/>
        </w:rPr>
        <w:t xml:space="preserve"> </w:t>
      </w:r>
      <w:proofErr w:type="spellStart"/>
      <w:r w:rsidRPr="00B82ECD">
        <w:rPr>
          <w:rFonts w:ascii="Arial" w:eastAsia="Times New Roman" w:hAnsi="Arial" w:cs="Arial"/>
          <w:i/>
          <w:sz w:val="28"/>
          <w:szCs w:val="28"/>
          <w:lang w:val="es-ES" w:eastAsia="es-ES"/>
        </w:rPr>
        <w:t>gonorrhoeae</w:t>
      </w:r>
      <w:proofErr w:type="spellEnd"/>
      <w:r w:rsidRPr="00B82ECD">
        <w:rPr>
          <w:rFonts w:ascii="Arial" w:eastAsia="Times New Roman" w:hAnsi="Arial" w:cs="Arial"/>
          <w:i/>
          <w:sz w:val="28"/>
          <w:szCs w:val="28"/>
          <w:lang w:val="es-ES" w:eastAsia="es-ES"/>
        </w:rPr>
        <w:t xml:space="preserve"> </w:t>
      </w:r>
    </w:p>
    <w:p w:rsidR="00A7510F" w:rsidRPr="00B82ECD" w:rsidRDefault="00A7510F" w:rsidP="00B82ECD">
      <w:pPr>
        <w:pStyle w:val="Prrafodelista"/>
        <w:numPr>
          <w:ilvl w:val="0"/>
          <w:numId w:val="1"/>
        </w:numPr>
        <w:spacing w:before="100" w:beforeAutospacing="1" w:after="100" w:afterAutospacing="1" w:line="240" w:lineRule="auto"/>
        <w:jc w:val="both"/>
        <w:rPr>
          <w:rFonts w:ascii="Arial" w:eastAsia="Times New Roman" w:hAnsi="Arial" w:cs="Arial"/>
          <w:i/>
          <w:sz w:val="28"/>
          <w:szCs w:val="28"/>
          <w:lang w:val="es-ES" w:eastAsia="es-ES"/>
        </w:rPr>
      </w:pPr>
      <w:proofErr w:type="spellStart"/>
      <w:r w:rsidRPr="00B82ECD">
        <w:rPr>
          <w:rFonts w:ascii="Arial" w:eastAsia="Times New Roman" w:hAnsi="Arial" w:cs="Arial"/>
          <w:i/>
          <w:sz w:val="28"/>
          <w:szCs w:val="28"/>
          <w:lang w:val="es-ES" w:eastAsia="es-ES"/>
        </w:rPr>
        <w:t>Clostridium</w:t>
      </w:r>
      <w:proofErr w:type="spellEnd"/>
      <w:r w:rsidRPr="00B82ECD">
        <w:rPr>
          <w:rFonts w:ascii="Arial" w:eastAsia="Times New Roman" w:hAnsi="Arial" w:cs="Arial"/>
          <w:i/>
          <w:sz w:val="28"/>
          <w:szCs w:val="28"/>
          <w:lang w:val="es-ES" w:eastAsia="es-ES"/>
        </w:rPr>
        <w:t xml:space="preserve"> </w:t>
      </w:r>
      <w:proofErr w:type="spellStart"/>
      <w:r w:rsidRPr="00B82ECD">
        <w:rPr>
          <w:rFonts w:ascii="Arial" w:eastAsia="Times New Roman" w:hAnsi="Arial" w:cs="Arial"/>
          <w:i/>
          <w:sz w:val="28"/>
          <w:szCs w:val="28"/>
          <w:lang w:val="es-ES" w:eastAsia="es-ES"/>
        </w:rPr>
        <w:t>difficile</w:t>
      </w:r>
      <w:proofErr w:type="spellEnd"/>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t xml:space="preserve"> Utilizar cursos cortos de antibióticos  Evaluar los niveles de </w:t>
      </w:r>
      <w:proofErr w:type="spellStart"/>
      <w:r w:rsidRPr="00416E2E">
        <w:rPr>
          <w:rFonts w:ascii="Arial" w:eastAsia="Times New Roman" w:hAnsi="Arial" w:cs="Arial"/>
          <w:sz w:val="28"/>
          <w:szCs w:val="28"/>
          <w:lang w:val="es-ES" w:eastAsia="es-ES"/>
        </w:rPr>
        <w:t>procalcitonina</w:t>
      </w:r>
      <w:proofErr w:type="spellEnd"/>
      <w:r w:rsidRPr="00416E2E">
        <w:rPr>
          <w:rFonts w:ascii="Arial" w:eastAsia="Times New Roman" w:hAnsi="Arial" w:cs="Arial"/>
          <w:sz w:val="28"/>
          <w:szCs w:val="28"/>
          <w:lang w:val="es-ES" w:eastAsia="es-ES"/>
        </w:rPr>
        <w:t xml:space="preserve"> para guiar las decisiones acerca de cuándo iniciar y detener los antibióticos  Explicar a los pacientes que exigen antibióticos que estos sólo se indicarán de acuerdo a las directrices clínicas en donde se demuestre un proceso infeccioso como tal  Uso de pruebas moleculares rápidas para mejorar la detección de patógenos  Prevención de las cuatro infecciones nosocomiales más importantes por costos de manejo y mayor mortalidad: bacteriemia por líneas centrales como catéteres, neumonía asociada a los ventiladores, infección por </w:t>
      </w:r>
      <w:proofErr w:type="spellStart"/>
      <w:r w:rsidRPr="00B82ECD">
        <w:rPr>
          <w:rFonts w:ascii="Arial" w:eastAsia="Times New Roman" w:hAnsi="Arial" w:cs="Arial"/>
          <w:i/>
          <w:sz w:val="28"/>
          <w:szCs w:val="28"/>
          <w:lang w:val="es-ES" w:eastAsia="es-ES"/>
        </w:rPr>
        <w:t>Clostridium</w:t>
      </w:r>
      <w:proofErr w:type="spellEnd"/>
      <w:r w:rsidRPr="00B82ECD">
        <w:rPr>
          <w:rFonts w:ascii="Arial" w:eastAsia="Times New Roman" w:hAnsi="Arial" w:cs="Arial"/>
          <w:i/>
          <w:sz w:val="28"/>
          <w:szCs w:val="28"/>
          <w:lang w:val="es-ES" w:eastAsia="es-ES"/>
        </w:rPr>
        <w:t xml:space="preserve"> </w:t>
      </w:r>
      <w:proofErr w:type="spellStart"/>
      <w:r w:rsidRPr="00B82ECD">
        <w:rPr>
          <w:rFonts w:ascii="Arial" w:eastAsia="Times New Roman" w:hAnsi="Arial" w:cs="Arial"/>
          <w:i/>
          <w:sz w:val="28"/>
          <w:szCs w:val="28"/>
          <w:lang w:val="es-ES" w:eastAsia="es-ES"/>
        </w:rPr>
        <w:t>difficile</w:t>
      </w:r>
      <w:proofErr w:type="spellEnd"/>
      <w:r w:rsidRPr="00416E2E">
        <w:rPr>
          <w:rFonts w:ascii="Arial" w:eastAsia="Times New Roman" w:hAnsi="Arial" w:cs="Arial"/>
          <w:sz w:val="28"/>
          <w:szCs w:val="28"/>
          <w:lang w:val="es-ES" w:eastAsia="es-ES"/>
        </w:rPr>
        <w:t xml:space="preserve"> a nivel intestinal por abuso de antibióticos, y prevención de infecciones del sitio quirúrgico (principalmente por resección de colon e histerectomía vaginal)</w:t>
      </w:r>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lastRenderedPageBreak/>
        <w:t xml:space="preserve">En relación con </w:t>
      </w:r>
      <w:r w:rsidRPr="00B82ECD">
        <w:rPr>
          <w:rFonts w:ascii="Arial" w:eastAsia="Times New Roman" w:hAnsi="Arial" w:cs="Arial"/>
          <w:i/>
          <w:sz w:val="28"/>
          <w:szCs w:val="28"/>
          <w:lang w:val="es-ES" w:eastAsia="es-ES"/>
        </w:rPr>
        <w:t xml:space="preserve">C. </w:t>
      </w:r>
      <w:proofErr w:type="spellStart"/>
      <w:r w:rsidRPr="00B82ECD">
        <w:rPr>
          <w:rFonts w:ascii="Arial" w:eastAsia="Times New Roman" w:hAnsi="Arial" w:cs="Arial"/>
          <w:i/>
          <w:sz w:val="28"/>
          <w:szCs w:val="28"/>
          <w:lang w:val="es-ES" w:eastAsia="es-ES"/>
        </w:rPr>
        <w:t>difficile</w:t>
      </w:r>
      <w:proofErr w:type="spellEnd"/>
      <w:r w:rsidRPr="00416E2E">
        <w:rPr>
          <w:rFonts w:ascii="Arial" w:eastAsia="Times New Roman" w:hAnsi="Arial" w:cs="Arial"/>
          <w:sz w:val="28"/>
          <w:szCs w:val="28"/>
          <w:lang w:val="es-ES" w:eastAsia="es-ES"/>
        </w:rPr>
        <w:t xml:space="preserve"> hay cierta confusión, debido a que el consenso es que el fármaco de elección para esta bacteria es vancomicina oral, no habiendo al parecer ninguna cepa resistente a la vancomicina que se haya reportado entre más de 10,000 aislamientos hasta hoy. Por otra parte se ha reportado resistencia de </w:t>
      </w:r>
      <w:r w:rsidRPr="00B82ECD">
        <w:rPr>
          <w:rFonts w:ascii="Arial" w:eastAsia="Times New Roman" w:hAnsi="Arial" w:cs="Arial"/>
          <w:i/>
          <w:sz w:val="28"/>
          <w:szCs w:val="28"/>
          <w:lang w:val="es-ES" w:eastAsia="es-ES"/>
        </w:rPr>
        <w:t xml:space="preserve">C. </w:t>
      </w:r>
      <w:proofErr w:type="spellStart"/>
      <w:r w:rsidRPr="00B82ECD">
        <w:rPr>
          <w:rFonts w:ascii="Arial" w:eastAsia="Times New Roman" w:hAnsi="Arial" w:cs="Arial"/>
          <w:i/>
          <w:sz w:val="28"/>
          <w:szCs w:val="28"/>
          <w:lang w:val="es-ES" w:eastAsia="es-ES"/>
        </w:rPr>
        <w:t>difficile</w:t>
      </w:r>
      <w:proofErr w:type="spellEnd"/>
      <w:r w:rsidRPr="00416E2E">
        <w:rPr>
          <w:rFonts w:ascii="Arial" w:eastAsia="Times New Roman" w:hAnsi="Arial" w:cs="Arial"/>
          <w:sz w:val="28"/>
          <w:szCs w:val="28"/>
          <w:lang w:val="es-ES" w:eastAsia="es-ES"/>
        </w:rPr>
        <w:t xml:space="preserve"> a </w:t>
      </w:r>
      <w:proofErr w:type="spellStart"/>
      <w:r w:rsidRPr="00416E2E">
        <w:rPr>
          <w:rFonts w:ascii="Arial" w:eastAsia="Times New Roman" w:hAnsi="Arial" w:cs="Arial"/>
          <w:sz w:val="28"/>
          <w:szCs w:val="28"/>
          <w:lang w:val="es-ES" w:eastAsia="es-ES"/>
        </w:rPr>
        <w:t>fluoroquinolonas</w:t>
      </w:r>
      <w:proofErr w:type="spellEnd"/>
      <w:r w:rsidRPr="00416E2E">
        <w:rPr>
          <w:rFonts w:ascii="Arial" w:eastAsia="Times New Roman" w:hAnsi="Arial" w:cs="Arial"/>
          <w:sz w:val="28"/>
          <w:szCs w:val="28"/>
          <w:lang w:val="es-ES" w:eastAsia="es-ES"/>
        </w:rPr>
        <w:t>, lo que parece condujo a la epidemia de la cepa NAP1 en gran parte de Europa y América del Norte a mediados de la década de los 90.</w:t>
      </w:r>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t>Como conclusión y principio de esta iniciativa que se espera sea de alt</w:t>
      </w:r>
      <w:r w:rsidR="00940959" w:rsidRPr="00416E2E">
        <w:rPr>
          <w:rFonts w:ascii="Arial" w:eastAsia="Times New Roman" w:hAnsi="Arial" w:cs="Arial"/>
          <w:sz w:val="28"/>
          <w:szCs w:val="28"/>
          <w:lang w:val="es-ES" w:eastAsia="es-ES"/>
        </w:rPr>
        <w:t>o impacto entre la comunidad mé</w:t>
      </w:r>
      <w:r w:rsidRPr="00416E2E">
        <w:rPr>
          <w:rFonts w:ascii="Arial" w:eastAsia="Times New Roman" w:hAnsi="Arial" w:cs="Arial"/>
          <w:sz w:val="28"/>
          <w:szCs w:val="28"/>
          <w:lang w:val="es-ES" w:eastAsia="es-ES"/>
        </w:rPr>
        <w:t>dica y dermatológica, se reafirman acciones tan simples como el lavado o desinfección de las manos entre un paciente y otro, junto con el manejo raciona</w:t>
      </w:r>
      <w:r w:rsidR="00940959" w:rsidRPr="00416E2E">
        <w:rPr>
          <w:rFonts w:ascii="Arial" w:eastAsia="Times New Roman" w:hAnsi="Arial" w:cs="Arial"/>
          <w:sz w:val="28"/>
          <w:szCs w:val="28"/>
          <w:lang w:val="es-ES" w:eastAsia="es-ES"/>
        </w:rPr>
        <w:t>l de antibióticos tópicos y sis</w:t>
      </w:r>
      <w:r w:rsidRPr="00416E2E">
        <w:rPr>
          <w:rFonts w:ascii="Arial" w:eastAsia="Times New Roman" w:hAnsi="Arial" w:cs="Arial"/>
          <w:sz w:val="28"/>
          <w:szCs w:val="28"/>
          <w:lang w:val="es-ES" w:eastAsia="es-ES"/>
        </w:rPr>
        <w:t>témicos por los periodos más cortos posibles.</w:t>
      </w:r>
    </w:p>
    <w:p w:rsidR="00A7510F" w:rsidRPr="00B82ECD" w:rsidRDefault="00B82ECD" w:rsidP="00416E2E">
      <w:pPr>
        <w:spacing w:before="100" w:beforeAutospacing="1" w:after="100" w:afterAutospacing="1" w:line="24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L</w:t>
      </w:r>
      <w:r w:rsidRPr="00B82ECD">
        <w:rPr>
          <w:rFonts w:ascii="Arial" w:eastAsia="Times New Roman" w:hAnsi="Arial" w:cs="Arial"/>
          <w:b/>
          <w:sz w:val="28"/>
          <w:szCs w:val="28"/>
          <w:lang w:val="es-ES" w:eastAsia="es-ES"/>
        </w:rPr>
        <w:t>a conducta a nivel hospitalario  para evitar la  RBA es:</w:t>
      </w:r>
    </w:p>
    <w:p w:rsidR="00A7510F" w:rsidRPr="00416E2E" w:rsidRDefault="00A751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eastAsia="Times New Roman" w:hAnsi="Arial" w:cs="Arial"/>
          <w:sz w:val="28"/>
          <w:szCs w:val="28"/>
          <w:lang w:val="es-ES" w:eastAsia="es-ES"/>
        </w:rPr>
        <w:t xml:space="preserve"> Utilizar cursos cortos de antibióticos  Evaluar los niveles de </w:t>
      </w:r>
      <w:proofErr w:type="spellStart"/>
      <w:r w:rsidRPr="00416E2E">
        <w:rPr>
          <w:rFonts w:ascii="Arial" w:eastAsia="Times New Roman" w:hAnsi="Arial" w:cs="Arial"/>
          <w:sz w:val="28"/>
          <w:szCs w:val="28"/>
          <w:lang w:val="es-ES" w:eastAsia="es-ES"/>
        </w:rPr>
        <w:t>procalcitonina</w:t>
      </w:r>
      <w:proofErr w:type="spellEnd"/>
      <w:r w:rsidRPr="00416E2E">
        <w:rPr>
          <w:rFonts w:ascii="Arial" w:eastAsia="Times New Roman" w:hAnsi="Arial" w:cs="Arial"/>
          <w:sz w:val="28"/>
          <w:szCs w:val="28"/>
          <w:lang w:val="es-ES" w:eastAsia="es-ES"/>
        </w:rPr>
        <w:t xml:space="preserve"> para guiar las decisiones acerca de cuándo iniciar y detener los antibióticos  Explicar a los pacientes que exigen antibióticos que estos sólo se indicarán de acuerdo a las directrices clínicas en donde se demuestre un proceso infeccioso como tal  Uso de pruebas moleculares rápidas para mejorar la detección de patógenos  Prevención de las cuatro infecciones nosocomiales más importantes por costos de manejo y mayor mortalidad: bacteriemia por líneas centrales como catéteres, neumonía asociada a los ventiladores, infección por </w:t>
      </w:r>
      <w:proofErr w:type="spellStart"/>
      <w:r w:rsidRPr="00B82ECD">
        <w:rPr>
          <w:rFonts w:ascii="Arial" w:eastAsia="Times New Roman" w:hAnsi="Arial" w:cs="Arial"/>
          <w:i/>
          <w:sz w:val="28"/>
          <w:szCs w:val="28"/>
          <w:lang w:val="es-ES" w:eastAsia="es-ES"/>
        </w:rPr>
        <w:t>Clostridium</w:t>
      </w:r>
      <w:proofErr w:type="spellEnd"/>
      <w:r w:rsidRPr="00B82ECD">
        <w:rPr>
          <w:rFonts w:ascii="Arial" w:eastAsia="Times New Roman" w:hAnsi="Arial" w:cs="Arial"/>
          <w:i/>
          <w:sz w:val="28"/>
          <w:szCs w:val="28"/>
          <w:lang w:val="es-ES" w:eastAsia="es-ES"/>
        </w:rPr>
        <w:t xml:space="preserve"> </w:t>
      </w:r>
      <w:proofErr w:type="spellStart"/>
      <w:r w:rsidRPr="00B82ECD">
        <w:rPr>
          <w:rFonts w:ascii="Arial" w:eastAsia="Times New Roman" w:hAnsi="Arial" w:cs="Arial"/>
          <w:i/>
          <w:sz w:val="28"/>
          <w:szCs w:val="28"/>
          <w:lang w:val="es-ES" w:eastAsia="es-ES"/>
        </w:rPr>
        <w:t>difficile</w:t>
      </w:r>
      <w:proofErr w:type="spellEnd"/>
      <w:r w:rsidRPr="00416E2E">
        <w:rPr>
          <w:rFonts w:ascii="Arial" w:eastAsia="Times New Roman" w:hAnsi="Arial" w:cs="Arial"/>
          <w:sz w:val="28"/>
          <w:szCs w:val="28"/>
          <w:lang w:val="es-ES" w:eastAsia="es-ES"/>
        </w:rPr>
        <w:t xml:space="preserve"> a nivel intestinal por abuso de antibióticos, y prevención de infecciones del sitio quirúrgico (principalmente por resección de colon e histerectomía vaginal)</w:t>
      </w:r>
      <w:r w:rsidR="00CF060F" w:rsidRPr="00416E2E">
        <w:rPr>
          <w:rFonts w:ascii="Arial" w:eastAsia="Times New Roman" w:hAnsi="Arial" w:cs="Arial"/>
          <w:sz w:val="28"/>
          <w:szCs w:val="28"/>
          <w:lang w:val="es-ES" w:eastAsia="es-ES"/>
        </w:rPr>
        <w:t>.</w:t>
      </w:r>
    </w:p>
    <w:p w:rsidR="00CF060F" w:rsidRPr="00416E2E" w:rsidRDefault="00CF06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hAnsi="Arial" w:cs="Arial"/>
          <w:noProof/>
          <w:sz w:val="28"/>
          <w:szCs w:val="28"/>
          <w:lang w:val="es-VE" w:eastAsia="es-VE"/>
        </w:rPr>
        <w:drawing>
          <wp:inline distT="0" distB="0" distL="0" distR="0">
            <wp:extent cx="2237874" cy="167878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4936" cy="1684084"/>
                    </a:xfrm>
                    <a:prstGeom prst="rect">
                      <a:avLst/>
                    </a:prstGeom>
                    <a:noFill/>
                    <a:ln>
                      <a:noFill/>
                    </a:ln>
                    <a:effectLst/>
                    <a:extLst/>
                  </pic:spPr>
                </pic:pic>
              </a:graphicData>
            </a:graphic>
          </wp:inline>
        </w:drawing>
      </w:r>
    </w:p>
    <w:p w:rsidR="00CF060F" w:rsidRPr="00B82ECD" w:rsidRDefault="00CF060F" w:rsidP="00416E2E">
      <w:pPr>
        <w:spacing w:line="256" w:lineRule="auto"/>
        <w:jc w:val="both"/>
        <w:rPr>
          <w:rFonts w:ascii="Arial" w:hAnsi="Arial" w:cs="Arial"/>
          <w:b/>
          <w:sz w:val="18"/>
          <w:szCs w:val="18"/>
        </w:rPr>
      </w:pPr>
      <w:r w:rsidRPr="00B82ECD">
        <w:rPr>
          <w:rFonts w:ascii="Arial" w:hAnsi="Arial" w:cs="Arial"/>
          <w:b/>
          <w:sz w:val="18"/>
          <w:szCs w:val="18"/>
        </w:rPr>
        <w:t xml:space="preserve">Reunión del grupo rector de la Alianza Global para mejorar los resultados terapéuticos en acné con </w:t>
      </w:r>
      <w:proofErr w:type="spellStart"/>
      <w:r w:rsidRPr="00B82ECD">
        <w:rPr>
          <w:rFonts w:ascii="Arial" w:hAnsi="Arial" w:cs="Arial"/>
          <w:b/>
          <w:sz w:val="18"/>
          <w:szCs w:val="18"/>
        </w:rPr>
        <w:t>infectólogos</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Antibiotic</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resistance</w:t>
      </w:r>
      <w:proofErr w:type="spellEnd"/>
      <w:r w:rsidRPr="00B82ECD">
        <w:rPr>
          <w:rFonts w:ascii="Arial" w:hAnsi="Arial" w:cs="Arial"/>
          <w:b/>
          <w:sz w:val="18"/>
          <w:szCs w:val="18"/>
        </w:rPr>
        <w:t xml:space="preserve"> in acné </w:t>
      </w:r>
      <w:proofErr w:type="spellStart"/>
      <w:r w:rsidRPr="00B82ECD">
        <w:rPr>
          <w:rFonts w:ascii="Arial" w:hAnsi="Arial" w:cs="Arial"/>
          <w:b/>
          <w:sz w:val="18"/>
          <w:szCs w:val="18"/>
        </w:rPr>
        <w:t>advisory</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board</w:t>
      </w:r>
      <w:proofErr w:type="spellEnd"/>
      <w:r w:rsidRPr="00B82ECD">
        <w:rPr>
          <w:rFonts w:ascii="Arial" w:hAnsi="Arial" w:cs="Arial"/>
          <w:b/>
          <w:sz w:val="18"/>
          <w:szCs w:val="18"/>
        </w:rPr>
        <w:t xml:space="preserve">), 1 y 2 de febrero del 2014 Washington DC. De izquierda a derecha; Dr. James Leyden, pendiente, pendiente, Dr. </w:t>
      </w:r>
      <w:proofErr w:type="spellStart"/>
      <w:r w:rsidRPr="00B82ECD">
        <w:rPr>
          <w:rFonts w:ascii="Arial" w:hAnsi="Arial" w:cs="Arial"/>
          <w:b/>
          <w:sz w:val="18"/>
          <w:szCs w:val="18"/>
        </w:rPr>
        <w:t>Vicenzo</w:t>
      </w:r>
      <w:proofErr w:type="spellEnd"/>
      <w:r w:rsidRPr="00B82ECD">
        <w:rPr>
          <w:rFonts w:ascii="Arial" w:hAnsi="Arial" w:cs="Arial"/>
          <w:b/>
          <w:sz w:val="18"/>
          <w:szCs w:val="18"/>
        </w:rPr>
        <w:t xml:space="preserve"> </w:t>
      </w:r>
      <w:proofErr w:type="spellStart"/>
      <w:r w:rsidRPr="00B82ECD">
        <w:rPr>
          <w:rFonts w:ascii="Arial" w:hAnsi="Arial" w:cs="Arial"/>
          <w:b/>
          <w:sz w:val="18"/>
          <w:szCs w:val="18"/>
        </w:rPr>
        <w:lastRenderedPageBreak/>
        <w:t>Bettoli</w:t>
      </w:r>
      <w:proofErr w:type="spellEnd"/>
      <w:r w:rsidRPr="00B82ECD">
        <w:rPr>
          <w:rFonts w:ascii="Arial" w:hAnsi="Arial" w:cs="Arial"/>
          <w:b/>
          <w:sz w:val="18"/>
          <w:szCs w:val="18"/>
        </w:rPr>
        <w:t xml:space="preserve">, Dra. </w:t>
      </w:r>
      <w:proofErr w:type="spellStart"/>
      <w:r w:rsidRPr="00B82ECD">
        <w:rPr>
          <w:rFonts w:ascii="Arial" w:hAnsi="Arial" w:cs="Arial"/>
          <w:b/>
          <w:sz w:val="18"/>
          <w:szCs w:val="18"/>
        </w:rPr>
        <w:t>Brigitte</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Dréno</w:t>
      </w:r>
      <w:proofErr w:type="spellEnd"/>
      <w:r w:rsidRPr="00B82ECD">
        <w:rPr>
          <w:rFonts w:ascii="Arial" w:hAnsi="Arial" w:cs="Arial"/>
          <w:b/>
          <w:sz w:val="18"/>
          <w:szCs w:val="18"/>
        </w:rPr>
        <w:t xml:space="preserve">, Dra. </w:t>
      </w:r>
      <w:r w:rsidRPr="00B82ECD">
        <w:rPr>
          <w:rFonts w:ascii="Arial" w:hAnsi="Arial" w:cs="Arial"/>
          <w:b/>
          <w:bCs/>
          <w:color w:val="231F20"/>
          <w:sz w:val="18"/>
          <w:szCs w:val="18"/>
        </w:rPr>
        <w:t xml:space="preserve">Diane M. </w:t>
      </w:r>
      <w:proofErr w:type="spellStart"/>
      <w:r w:rsidRPr="00B82ECD">
        <w:rPr>
          <w:rFonts w:ascii="Arial" w:hAnsi="Arial" w:cs="Arial"/>
          <w:b/>
          <w:bCs/>
          <w:color w:val="231F20"/>
          <w:sz w:val="18"/>
          <w:szCs w:val="18"/>
        </w:rPr>
        <w:t>Thiboutot</w:t>
      </w:r>
      <w:proofErr w:type="spellEnd"/>
      <w:r w:rsidRPr="00B82ECD">
        <w:rPr>
          <w:rFonts w:ascii="Arial" w:hAnsi="Arial" w:cs="Arial"/>
          <w:b/>
          <w:sz w:val="18"/>
          <w:szCs w:val="18"/>
        </w:rPr>
        <w:t xml:space="preserve">, Dr. Pendiente, Dr. </w:t>
      </w:r>
      <w:proofErr w:type="spellStart"/>
      <w:r w:rsidRPr="00B82ECD">
        <w:rPr>
          <w:rFonts w:ascii="Arial" w:hAnsi="Arial" w:cs="Arial"/>
          <w:b/>
          <w:sz w:val="18"/>
          <w:szCs w:val="18"/>
        </w:rPr>
        <w:t>Harald</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Gollnick</w:t>
      </w:r>
      <w:proofErr w:type="spellEnd"/>
      <w:r w:rsidRPr="00B82ECD">
        <w:rPr>
          <w:rFonts w:ascii="Arial" w:hAnsi="Arial" w:cs="Arial"/>
          <w:b/>
          <w:sz w:val="18"/>
          <w:szCs w:val="18"/>
        </w:rPr>
        <w:t xml:space="preserve">, Dr. </w:t>
      </w:r>
      <w:proofErr w:type="spellStart"/>
      <w:r w:rsidRPr="00B82ECD">
        <w:rPr>
          <w:rFonts w:ascii="Arial" w:hAnsi="Arial" w:cs="Arial"/>
          <w:b/>
          <w:sz w:val="18"/>
          <w:szCs w:val="18"/>
        </w:rPr>
        <w:t>Sewon</w:t>
      </w:r>
      <w:proofErr w:type="spellEnd"/>
      <w:r w:rsidRPr="00B82ECD">
        <w:rPr>
          <w:rFonts w:ascii="Arial" w:hAnsi="Arial" w:cs="Arial"/>
          <w:b/>
          <w:sz w:val="18"/>
          <w:szCs w:val="18"/>
        </w:rPr>
        <w:t xml:space="preserve"> </w:t>
      </w:r>
      <w:proofErr w:type="spellStart"/>
      <w:r w:rsidRPr="00B82ECD">
        <w:rPr>
          <w:rFonts w:ascii="Arial" w:hAnsi="Arial" w:cs="Arial"/>
          <w:b/>
          <w:sz w:val="18"/>
          <w:szCs w:val="18"/>
        </w:rPr>
        <w:t>Kang</w:t>
      </w:r>
      <w:proofErr w:type="spellEnd"/>
      <w:r w:rsidRPr="00B82ECD">
        <w:rPr>
          <w:rFonts w:ascii="Arial" w:hAnsi="Arial" w:cs="Arial"/>
          <w:b/>
          <w:sz w:val="18"/>
          <w:szCs w:val="18"/>
        </w:rPr>
        <w:t>, Dr. Pendiente, Dr. Vicente Torres, Dr. Melo.</w:t>
      </w:r>
    </w:p>
    <w:p w:rsidR="00CF060F" w:rsidRPr="00416E2E" w:rsidRDefault="00CF060F" w:rsidP="00416E2E">
      <w:pPr>
        <w:spacing w:before="100" w:beforeAutospacing="1" w:after="100" w:afterAutospacing="1" w:line="240" w:lineRule="auto"/>
        <w:jc w:val="both"/>
        <w:rPr>
          <w:rFonts w:ascii="Arial" w:eastAsia="Times New Roman" w:hAnsi="Arial" w:cs="Arial"/>
          <w:sz w:val="28"/>
          <w:szCs w:val="28"/>
          <w:lang w:val="es-ES" w:eastAsia="es-ES"/>
        </w:rPr>
      </w:pPr>
      <w:r w:rsidRPr="00416E2E">
        <w:rPr>
          <w:rFonts w:ascii="Arial" w:hAnsi="Arial" w:cs="Arial"/>
          <w:noProof/>
          <w:sz w:val="28"/>
          <w:szCs w:val="28"/>
          <w:lang w:val="es-VE" w:eastAsia="es-VE"/>
        </w:rPr>
        <w:drawing>
          <wp:inline distT="0" distB="0" distL="0" distR="0">
            <wp:extent cx="2680645" cy="1774658"/>
            <wp:effectExtent l="0" t="0" r="5715" b="0"/>
            <wp:docPr id="2" name="Imagen 2" descr="E:\Pictures\Pictures\G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Pictures\GALA 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664" cy="1775994"/>
                    </a:xfrm>
                    <a:prstGeom prst="rect">
                      <a:avLst/>
                    </a:prstGeom>
                    <a:noFill/>
                    <a:ln>
                      <a:noFill/>
                    </a:ln>
                  </pic:spPr>
                </pic:pic>
              </a:graphicData>
            </a:graphic>
          </wp:inline>
        </w:drawing>
      </w:r>
    </w:p>
    <w:p w:rsidR="00CF060F" w:rsidRPr="00B82ECD" w:rsidRDefault="00CF060F" w:rsidP="00416E2E">
      <w:pPr>
        <w:spacing w:line="256" w:lineRule="auto"/>
        <w:jc w:val="both"/>
        <w:rPr>
          <w:rFonts w:ascii="Arial" w:hAnsi="Arial" w:cs="Arial"/>
          <w:b/>
          <w:sz w:val="18"/>
          <w:szCs w:val="18"/>
        </w:rPr>
      </w:pPr>
      <w:r w:rsidRPr="00B82ECD">
        <w:rPr>
          <w:rFonts w:ascii="Arial" w:hAnsi="Arial" w:cs="Arial"/>
          <w:b/>
          <w:sz w:val="18"/>
          <w:szCs w:val="18"/>
        </w:rPr>
        <w:t xml:space="preserve">Reunión grupo GALA, de izquierda a derecha; Dr. Juan </w:t>
      </w:r>
      <w:proofErr w:type="spellStart"/>
      <w:r w:rsidRPr="00B82ECD">
        <w:rPr>
          <w:rFonts w:ascii="Arial" w:hAnsi="Arial" w:cs="Arial"/>
          <w:b/>
          <w:sz w:val="18"/>
          <w:szCs w:val="18"/>
        </w:rPr>
        <w:t>Honeyman</w:t>
      </w:r>
      <w:proofErr w:type="spellEnd"/>
      <w:r w:rsidRPr="00B82ECD">
        <w:rPr>
          <w:rFonts w:ascii="Arial" w:hAnsi="Arial" w:cs="Arial"/>
          <w:b/>
          <w:sz w:val="18"/>
          <w:szCs w:val="18"/>
        </w:rPr>
        <w:t xml:space="preserve"> (Chile), Dra. María Isabel Barona (Colombia), Dra. María Isabel </w:t>
      </w:r>
      <w:proofErr w:type="spellStart"/>
      <w:r w:rsidRPr="00B82ECD">
        <w:rPr>
          <w:rFonts w:ascii="Arial" w:hAnsi="Arial" w:cs="Arial"/>
          <w:b/>
          <w:sz w:val="18"/>
          <w:szCs w:val="18"/>
        </w:rPr>
        <w:t>Herane</w:t>
      </w:r>
      <w:proofErr w:type="spellEnd"/>
      <w:r w:rsidRPr="00B82ECD">
        <w:rPr>
          <w:rFonts w:ascii="Arial" w:hAnsi="Arial" w:cs="Arial"/>
          <w:b/>
          <w:sz w:val="18"/>
          <w:szCs w:val="18"/>
        </w:rPr>
        <w:t xml:space="preserve"> (Chile), Dra. Patricia </w:t>
      </w:r>
      <w:proofErr w:type="spellStart"/>
      <w:r w:rsidRPr="00B82ECD">
        <w:rPr>
          <w:rFonts w:ascii="Arial" w:hAnsi="Arial" w:cs="Arial"/>
          <w:b/>
          <w:sz w:val="18"/>
          <w:szCs w:val="18"/>
        </w:rPr>
        <w:t>Troieli</w:t>
      </w:r>
      <w:proofErr w:type="spellEnd"/>
      <w:r w:rsidRPr="00B82ECD">
        <w:rPr>
          <w:rFonts w:ascii="Arial" w:hAnsi="Arial" w:cs="Arial"/>
          <w:b/>
          <w:sz w:val="18"/>
          <w:szCs w:val="18"/>
        </w:rPr>
        <w:t xml:space="preserve"> (Argentina), Dr. Sergio </w:t>
      </w:r>
      <w:proofErr w:type="spellStart"/>
      <w:r w:rsidRPr="00B82ECD">
        <w:rPr>
          <w:rFonts w:ascii="Arial" w:hAnsi="Arial" w:cs="Arial"/>
          <w:b/>
          <w:sz w:val="18"/>
          <w:szCs w:val="18"/>
        </w:rPr>
        <w:t>Talarico</w:t>
      </w:r>
      <w:proofErr w:type="spellEnd"/>
      <w:r w:rsidRPr="00B82ECD">
        <w:rPr>
          <w:rFonts w:ascii="Arial" w:hAnsi="Arial" w:cs="Arial"/>
          <w:b/>
          <w:sz w:val="18"/>
          <w:szCs w:val="18"/>
        </w:rPr>
        <w:t xml:space="preserve"> (Brasil) Dr. Vicente Torres (México).</w:t>
      </w:r>
    </w:p>
    <w:p w:rsidR="00CF060F" w:rsidRPr="00416E2E" w:rsidRDefault="00CF060F" w:rsidP="00416E2E">
      <w:pPr>
        <w:spacing w:before="100" w:beforeAutospacing="1" w:after="100" w:afterAutospacing="1" w:line="240" w:lineRule="auto"/>
        <w:jc w:val="both"/>
        <w:rPr>
          <w:rFonts w:ascii="Arial" w:eastAsia="Times New Roman" w:hAnsi="Arial" w:cs="Arial"/>
          <w:sz w:val="28"/>
          <w:szCs w:val="28"/>
          <w:lang w:val="es-ES" w:eastAsia="es-ES"/>
        </w:rPr>
      </w:pPr>
    </w:p>
    <w:p w:rsidR="00A7510F" w:rsidRPr="00416E2E" w:rsidRDefault="00A7510F" w:rsidP="00416E2E">
      <w:pPr>
        <w:pStyle w:val="NormalWeb"/>
        <w:jc w:val="both"/>
        <w:rPr>
          <w:rFonts w:ascii="Arial" w:hAnsi="Arial" w:cs="Arial"/>
          <w:sz w:val="28"/>
          <w:szCs w:val="28"/>
        </w:rPr>
      </w:pPr>
    </w:p>
    <w:p w:rsidR="00302337" w:rsidRPr="00416E2E" w:rsidRDefault="00302337" w:rsidP="00416E2E">
      <w:pPr>
        <w:jc w:val="both"/>
        <w:rPr>
          <w:rFonts w:ascii="Arial" w:hAnsi="Arial" w:cs="Arial"/>
          <w:sz w:val="28"/>
          <w:szCs w:val="28"/>
        </w:rPr>
      </w:pPr>
    </w:p>
    <w:sectPr w:rsidR="00302337" w:rsidRPr="00416E2E" w:rsidSect="00E208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E238C"/>
    <w:multiLevelType w:val="hybridMultilevel"/>
    <w:tmpl w:val="5B203276"/>
    <w:lvl w:ilvl="0" w:tplc="B4361CC6">
      <w:start w:val="19"/>
      <w:numFmt w:val="bullet"/>
      <w:lvlText w:val="-"/>
      <w:lvlJc w:val="left"/>
      <w:pPr>
        <w:ind w:left="435" w:hanging="360"/>
      </w:pPr>
      <w:rPr>
        <w:rFonts w:ascii="Arial" w:eastAsia="Times New Roman" w:hAnsi="Arial" w:cs="Arial" w:hint="default"/>
      </w:rPr>
    </w:lvl>
    <w:lvl w:ilvl="1" w:tplc="200A0003" w:tentative="1">
      <w:start w:val="1"/>
      <w:numFmt w:val="bullet"/>
      <w:lvlText w:val="o"/>
      <w:lvlJc w:val="left"/>
      <w:pPr>
        <w:ind w:left="1155" w:hanging="360"/>
      </w:pPr>
      <w:rPr>
        <w:rFonts w:ascii="Courier New" w:hAnsi="Courier New" w:cs="Courier New" w:hint="default"/>
      </w:rPr>
    </w:lvl>
    <w:lvl w:ilvl="2" w:tplc="200A0005" w:tentative="1">
      <w:start w:val="1"/>
      <w:numFmt w:val="bullet"/>
      <w:lvlText w:val=""/>
      <w:lvlJc w:val="left"/>
      <w:pPr>
        <w:ind w:left="1875" w:hanging="360"/>
      </w:pPr>
      <w:rPr>
        <w:rFonts w:ascii="Wingdings" w:hAnsi="Wingdings" w:hint="default"/>
      </w:rPr>
    </w:lvl>
    <w:lvl w:ilvl="3" w:tplc="200A0001" w:tentative="1">
      <w:start w:val="1"/>
      <w:numFmt w:val="bullet"/>
      <w:lvlText w:val=""/>
      <w:lvlJc w:val="left"/>
      <w:pPr>
        <w:ind w:left="2595" w:hanging="360"/>
      </w:pPr>
      <w:rPr>
        <w:rFonts w:ascii="Symbol" w:hAnsi="Symbol" w:hint="default"/>
      </w:rPr>
    </w:lvl>
    <w:lvl w:ilvl="4" w:tplc="200A0003" w:tentative="1">
      <w:start w:val="1"/>
      <w:numFmt w:val="bullet"/>
      <w:lvlText w:val="o"/>
      <w:lvlJc w:val="left"/>
      <w:pPr>
        <w:ind w:left="3315" w:hanging="360"/>
      </w:pPr>
      <w:rPr>
        <w:rFonts w:ascii="Courier New" w:hAnsi="Courier New" w:cs="Courier New" w:hint="default"/>
      </w:rPr>
    </w:lvl>
    <w:lvl w:ilvl="5" w:tplc="200A0005" w:tentative="1">
      <w:start w:val="1"/>
      <w:numFmt w:val="bullet"/>
      <w:lvlText w:val=""/>
      <w:lvlJc w:val="left"/>
      <w:pPr>
        <w:ind w:left="4035" w:hanging="360"/>
      </w:pPr>
      <w:rPr>
        <w:rFonts w:ascii="Wingdings" w:hAnsi="Wingdings" w:hint="default"/>
      </w:rPr>
    </w:lvl>
    <w:lvl w:ilvl="6" w:tplc="200A0001" w:tentative="1">
      <w:start w:val="1"/>
      <w:numFmt w:val="bullet"/>
      <w:lvlText w:val=""/>
      <w:lvlJc w:val="left"/>
      <w:pPr>
        <w:ind w:left="4755" w:hanging="360"/>
      </w:pPr>
      <w:rPr>
        <w:rFonts w:ascii="Symbol" w:hAnsi="Symbol" w:hint="default"/>
      </w:rPr>
    </w:lvl>
    <w:lvl w:ilvl="7" w:tplc="200A0003" w:tentative="1">
      <w:start w:val="1"/>
      <w:numFmt w:val="bullet"/>
      <w:lvlText w:val="o"/>
      <w:lvlJc w:val="left"/>
      <w:pPr>
        <w:ind w:left="5475" w:hanging="360"/>
      </w:pPr>
      <w:rPr>
        <w:rFonts w:ascii="Courier New" w:hAnsi="Courier New" w:cs="Courier New" w:hint="default"/>
      </w:rPr>
    </w:lvl>
    <w:lvl w:ilvl="8" w:tplc="20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10F"/>
    <w:rsid w:val="00302337"/>
    <w:rsid w:val="00416E2E"/>
    <w:rsid w:val="008226FD"/>
    <w:rsid w:val="00940959"/>
    <w:rsid w:val="00A7510F"/>
    <w:rsid w:val="00A94B11"/>
    <w:rsid w:val="00AF07BC"/>
    <w:rsid w:val="00B82ECD"/>
    <w:rsid w:val="00BF0F50"/>
    <w:rsid w:val="00CB5B58"/>
    <w:rsid w:val="00CF060F"/>
    <w:rsid w:val="00DE78DA"/>
    <w:rsid w:val="00E2087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7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1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6E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E2E"/>
    <w:rPr>
      <w:rFonts w:ascii="Tahoma" w:hAnsi="Tahoma" w:cs="Tahoma"/>
      <w:sz w:val="16"/>
      <w:szCs w:val="16"/>
      <w:lang w:val="es-MX"/>
    </w:rPr>
  </w:style>
  <w:style w:type="paragraph" w:styleId="Prrafodelista">
    <w:name w:val="List Paragraph"/>
    <w:basedOn w:val="Normal"/>
    <w:uiPriority w:val="34"/>
    <w:qFormat/>
    <w:rsid w:val="00B82ECD"/>
    <w:pPr>
      <w:ind w:left="720"/>
      <w:contextualSpacing/>
    </w:pPr>
  </w:style>
</w:styles>
</file>

<file path=word/webSettings.xml><?xml version="1.0" encoding="utf-8"?>
<w:webSettings xmlns:r="http://schemas.openxmlformats.org/officeDocument/2006/relationships" xmlns:w="http://schemas.openxmlformats.org/wordprocessingml/2006/main">
  <w:divs>
    <w:div w:id="1590977">
      <w:bodyDiv w:val="1"/>
      <w:marLeft w:val="0"/>
      <w:marRight w:val="0"/>
      <w:marTop w:val="0"/>
      <w:marBottom w:val="0"/>
      <w:divBdr>
        <w:top w:val="none" w:sz="0" w:space="0" w:color="auto"/>
        <w:left w:val="none" w:sz="0" w:space="0" w:color="auto"/>
        <w:bottom w:val="none" w:sz="0" w:space="0" w:color="auto"/>
        <w:right w:val="none" w:sz="0" w:space="0" w:color="auto"/>
      </w:divBdr>
    </w:div>
    <w:div w:id="180627780">
      <w:bodyDiv w:val="1"/>
      <w:marLeft w:val="0"/>
      <w:marRight w:val="0"/>
      <w:marTop w:val="0"/>
      <w:marBottom w:val="0"/>
      <w:divBdr>
        <w:top w:val="none" w:sz="0" w:space="0" w:color="auto"/>
        <w:left w:val="none" w:sz="0" w:space="0" w:color="auto"/>
        <w:bottom w:val="none" w:sz="0" w:space="0" w:color="auto"/>
        <w:right w:val="none" w:sz="0" w:space="0" w:color="auto"/>
      </w:divBdr>
    </w:div>
    <w:div w:id="335228290">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577978939">
      <w:bodyDiv w:val="1"/>
      <w:marLeft w:val="0"/>
      <w:marRight w:val="0"/>
      <w:marTop w:val="0"/>
      <w:marBottom w:val="0"/>
      <w:divBdr>
        <w:top w:val="none" w:sz="0" w:space="0" w:color="auto"/>
        <w:left w:val="none" w:sz="0" w:space="0" w:color="auto"/>
        <w:bottom w:val="none" w:sz="0" w:space="0" w:color="auto"/>
        <w:right w:val="none" w:sz="0" w:space="0" w:color="auto"/>
      </w:divBdr>
    </w:div>
    <w:div w:id="708064908">
      <w:bodyDiv w:val="1"/>
      <w:marLeft w:val="0"/>
      <w:marRight w:val="0"/>
      <w:marTop w:val="0"/>
      <w:marBottom w:val="0"/>
      <w:divBdr>
        <w:top w:val="none" w:sz="0" w:space="0" w:color="auto"/>
        <w:left w:val="none" w:sz="0" w:space="0" w:color="auto"/>
        <w:bottom w:val="none" w:sz="0" w:space="0" w:color="auto"/>
        <w:right w:val="none" w:sz="0" w:space="0" w:color="auto"/>
      </w:divBdr>
    </w:div>
    <w:div w:id="798645016">
      <w:bodyDiv w:val="1"/>
      <w:marLeft w:val="0"/>
      <w:marRight w:val="0"/>
      <w:marTop w:val="0"/>
      <w:marBottom w:val="0"/>
      <w:divBdr>
        <w:top w:val="none" w:sz="0" w:space="0" w:color="auto"/>
        <w:left w:val="none" w:sz="0" w:space="0" w:color="auto"/>
        <w:bottom w:val="none" w:sz="0" w:space="0" w:color="auto"/>
        <w:right w:val="none" w:sz="0" w:space="0" w:color="auto"/>
      </w:divBdr>
    </w:div>
    <w:div w:id="822160225">
      <w:bodyDiv w:val="1"/>
      <w:marLeft w:val="0"/>
      <w:marRight w:val="0"/>
      <w:marTop w:val="0"/>
      <w:marBottom w:val="0"/>
      <w:divBdr>
        <w:top w:val="none" w:sz="0" w:space="0" w:color="auto"/>
        <w:left w:val="none" w:sz="0" w:space="0" w:color="auto"/>
        <w:bottom w:val="none" w:sz="0" w:space="0" w:color="auto"/>
        <w:right w:val="none" w:sz="0" w:space="0" w:color="auto"/>
      </w:divBdr>
    </w:div>
    <w:div w:id="913274113">
      <w:bodyDiv w:val="1"/>
      <w:marLeft w:val="0"/>
      <w:marRight w:val="0"/>
      <w:marTop w:val="0"/>
      <w:marBottom w:val="0"/>
      <w:divBdr>
        <w:top w:val="none" w:sz="0" w:space="0" w:color="auto"/>
        <w:left w:val="none" w:sz="0" w:space="0" w:color="auto"/>
        <w:bottom w:val="none" w:sz="0" w:space="0" w:color="auto"/>
        <w:right w:val="none" w:sz="0" w:space="0" w:color="auto"/>
      </w:divBdr>
    </w:div>
    <w:div w:id="935864792">
      <w:bodyDiv w:val="1"/>
      <w:marLeft w:val="0"/>
      <w:marRight w:val="0"/>
      <w:marTop w:val="0"/>
      <w:marBottom w:val="0"/>
      <w:divBdr>
        <w:top w:val="none" w:sz="0" w:space="0" w:color="auto"/>
        <w:left w:val="none" w:sz="0" w:space="0" w:color="auto"/>
        <w:bottom w:val="none" w:sz="0" w:space="0" w:color="auto"/>
        <w:right w:val="none" w:sz="0" w:space="0" w:color="auto"/>
      </w:divBdr>
    </w:div>
    <w:div w:id="944770609">
      <w:bodyDiv w:val="1"/>
      <w:marLeft w:val="0"/>
      <w:marRight w:val="0"/>
      <w:marTop w:val="0"/>
      <w:marBottom w:val="0"/>
      <w:divBdr>
        <w:top w:val="none" w:sz="0" w:space="0" w:color="auto"/>
        <w:left w:val="none" w:sz="0" w:space="0" w:color="auto"/>
        <w:bottom w:val="none" w:sz="0" w:space="0" w:color="auto"/>
        <w:right w:val="none" w:sz="0" w:space="0" w:color="auto"/>
      </w:divBdr>
    </w:div>
    <w:div w:id="977614272">
      <w:bodyDiv w:val="1"/>
      <w:marLeft w:val="0"/>
      <w:marRight w:val="0"/>
      <w:marTop w:val="0"/>
      <w:marBottom w:val="0"/>
      <w:divBdr>
        <w:top w:val="none" w:sz="0" w:space="0" w:color="auto"/>
        <w:left w:val="none" w:sz="0" w:space="0" w:color="auto"/>
        <w:bottom w:val="none" w:sz="0" w:space="0" w:color="auto"/>
        <w:right w:val="none" w:sz="0" w:space="0" w:color="auto"/>
      </w:divBdr>
    </w:div>
    <w:div w:id="1088190563">
      <w:bodyDiv w:val="1"/>
      <w:marLeft w:val="0"/>
      <w:marRight w:val="0"/>
      <w:marTop w:val="0"/>
      <w:marBottom w:val="0"/>
      <w:divBdr>
        <w:top w:val="none" w:sz="0" w:space="0" w:color="auto"/>
        <w:left w:val="none" w:sz="0" w:space="0" w:color="auto"/>
        <w:bottom w:val="none" w:sz="0" w:space="0" w:color="auto"/>
        <w:right w:val="none" w:sz="0" w:space="0" w:color="auto"/>
      </w:divBdr>
    </w:div>
    <w:div w:id="1526096324">
      <w:bodyDiv w:val="1"/>
      <w:marLeft w:val="0"/>
      <w:marRight w:val="0"/>
      <w:marTop w:val="0"/>
      <w:marBottom w:val="0"/>
      <w:divBdr>
        <w:top w:val="none" w:sz="0" w:space="0" w:color="auto"/>
        <w:left w:val="none" w:sz="0" w:space="0" w:color="auto"/>
        <w:bottom w:val="none" w:sz="0" w:space="0" w:color="auto"/>
        <w:right w:val="none" w:sz="0" w:space="0" w:color="auto"/>
      </w:divBdr>
    </w:div>
    <w:div w:id="1763336555">
      <w:bodyDiv w:val="1"/>
      <w:marLeft w:val="0"/>
      <w:marRight w:val="0"/>
      <w:marTop w:val="0"/>
      <w:marBottom w:val="0"/>
      <w:divBdr>
        <w:top w:val="none" w:sz="0" w:space="0" w:color="auto"/>
        <w:left w:val="none" w:sz="0" w:space="0" w:color="auto"/>
        <w:bottom w:val="none" w:sz="0" w:space="0" w:color="auto"/>
        <w:right w:val="none" w:sz="0" w:space="0" w:color="auto"/>
      </w:divBdr>
    </w:div>
    <w:div w:id="1781483923">
      <w:bodyDiv w:val="1"/>
      <w:marLeft w:val="0"/>
      <w:marRight w:val="0"/>
      <w:marTop w:val="0"/>
      <w:marBottom w:val="0"/>
      <w:divBdr>
        <w:top w:val="none" w:sz="0" w:space="0" w:color="auto"/>
        <w:left w:val="none" w:sz="0" w:space="0" w:color="auto"/>
        <w:bottom w:val="none" w:sz="0" w:space="0" w:color="auto"/>
        <w:right w:val="none" w:sz="0" w:space="0" w:color="auto"/>
      </w:divBdr>
    </w:div>
    <w:div w:id="21158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Rafael Torres</dc:creator>
  <cp:lastModifiedBy>Doctor</cp:lastModifiedBy>
  <cp:revision>2</cp:revision>
  <dcterms:created xsi:type="dcterms:W3CDTF">2015-06-19T21:29:00Z</dcterms:created>
  <dcterms:modified xsi:type="dcterms:W3CDTF">2015-06-19T21:29:00Z</dcterms:modified>
</cp:coreProperties>
</file>